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4B6F0">
      <w:pPr>
        <w:spacing w:line="240" w:lineRule="atLeast"/>
        <w:jc w:val="center"/>
        <w:rPr>
          <w:rFonts w:ascii="宋体" w:hAnsi="宋体"/>
          <w:color w:val="FF0000"/>
          <w:sz w:val="44"/>
          <w:szCs w:val="44"/>
        </w:rPr>
      </w:pPr>
    </w:p>
    <w:p w14:paraId="76E2177D">
      <w:pPr>
        <w:spacing w:line="240" w:lineRule="atLeast"/>
        <w:jc w:val="center"/>
        <w:rPr>
          <w:rFonts w:ascii="宋体" w:hAnsi="宋体"/>
          <w:sz w:val="44"/>
          <w:szCs w:val="44"/>
        </w:rPr>
      </w:pPr>
    </w:p>
    <w:p w14:paraId="27246861">
      <w:pPr>
        <w:spacing w:line="240" w:lineRule="atLeast"/>
        <w:jc w:val="center"/>
        <w:rPr>
          <w:rFonts w:ascii="宋体" w:hAnsi="宋体"/>
          <w:sz w:val="44"/>
          <w:szCs w:val="44"/>
        </w:rPr>
      </w:pPr>
    </w:p>
    <w:p w14:paraId="32430AEA">
      <w:pPr>
        <w:spacing w:line="240" w:lineRule="atLeast"/>
        <w:jc w:val="center"/>
        <w:rPr>
          <w:rFonts w:ascii="宋体" w:hAnsi="宋体"/>
          <w:b/>
          <w:bCs/>
          <w:sz w:val="48"/>
          <w:szCs w:val="48"/>
        </w:rPr>
      </w:pPr>
      <w:r>
        <w:rPr>
          <w:rFonts w:hint="eastAsia" w:ascii="宋体" w:hAnsi="宋体"/>
          <w:b/>
          <w:bCs/>
          <w:sz w:val="48"/>
          <w:szCs w:val="48"/>
        </w:rPr>
        <w:t>改制自收自支事业单位代管退休、在职人员补充医疗费用</w:t>
      </w:r>
    </w:p>
    <w:p w14:paraId="34414AA4">
      <w:pPr>
        <w:spacing w:line="240" w:lineRule="atLeast"/>
        <w:jc w:val="center"/>
        <w:rPr>
          <w:rFonts w:ascii="宋体" w:hAnsi="宋体"/>
          <w:sz w:val="48"/>
          <w:szCs w:val="48"/>
        </w:rPr>
      </w:pPr>
    </w:p>
    <w:p w14:paraId="6FCA06E7">
      <w:pPr>
        <w:spacing w:line="240" w:lineRule="atLeast"/>
        <w:jc w:val="center"/>
        <w:rPr>
          <w:rFonts w:ascii="宋体" w:hAnsi="宋体"/>
          <w:b/>
          <w:sz w:val="48"/>
          <w:szCs w:val="48"/>
        </w:rPr>
      </w:pPr>
      <w:r>
        <w:rPr>
          <w:rFonts w:hint="eastAsia" w:ascii="宋体" w:hAnsi="宋体"/>
          <w:b/>
          <w:sz w:val="48"/>
          <w:szCs w:val="48"/>
        </w:rPr>
        <w:t>遴选文件</w:t>
      </w:r>
    </w:p>
    <w:p w14:paraId="0FDF4D89">
      <w:pPr>
        <w:spacing w:line="240" w:lineRule="atLeast"/>
        <w:jc w:val="center"/>
        <w:rPr>
          <w:rFonts w:ascii="宋体" w:hAnsi="宋体"/>
          <w:b/>
          <w:sz w:val="44"/>
          <w:szCs w:val="44"/>
        </w:rPr>
      </w:pPr>
    </w:p>
    <w:p w14:paraId="023ECEDA">
      <w:pPr>
        <w:spacing w:line="240" w:lineRule="atLeast"/>
        <w:jc w:val="center"/>
        <w:rPr>
          <w:rFonts w:ascii="宋体" w:hAnsi="宋体"/>
          <w:b/>
          <w:sz w:val="44"/>
          <w:szCs w:val="44"/>
        </w:rPr>
      </w:pPr>
    </w:p>
    <w:p w14:paraId="51E929FE">
      <w:pPr>
        <w:spacing w:line="240" w:lineRule="atLeast"/>
        <w:jc w:val="center"/>
        <w:rPr>
          <w:rFonts w:hint="default" w:ascii="宋体" w:hAnsi="宋体" w:eastAsia="宋体"/>
          <w:b/>
          <w:sz w:val="48"/>
          <w:szCs w:val="48"/>
          <w:lang w:val="en-US" w:eastAsia="zh-CN"/>
        </w:rPr>
      </w:pPr>
      <w:r>
        <w:rPr>
          <w:rFonts w:hint="eastAsia" w:ascii="宋体" w:hAnsi="宋体"/>
          <w:b/>
          <w:sz w:val="48"/>
          <w:szCs w:val="48"/>
        </w:rPr>
        <w:t>项目编号：BIECC-24CG104</w:t>
      </w:r>
      <w:r>
        <w:rPr>
          <w:rFonts w:hint="eastAsia" w:ascii="宋体" w:hAnsi="宋体"/>
          <w:b/>
          <w:sz w:val="48"/>
          <w:szCs w:val="48"/>
          <w:lang w:val="en-US" w:eastAsia="zh-CN"/>
        </w:rPr>
        <w:t>16</w:t>
      </w:r>
    </w:p>
    <w:p w14:paraId="399AF9F2">
      <w:pPr>
        <w:spacing w:line="240" w:lineRule="atLeast"/>
        <w:jc w:val="center"/>
        <w:rPr>
          <w:rFonts w:ascii="宋体" w:hAnsi="宋体"/>
          <w:sz w:val="44"/>
          <w:szCs w:val="44"/>
        </w:rPr>
      </w:pPr>
    </w:p>
    <w:p w14:paraId="33DAC28E">
      <w:pPr>
        <w:spacing w:line="240" w:lineRule="atLeast"/>
        <w:jc w:val="center"/>
        <w:rPr>
          <w:rFonts w:ascii="宋体" w:hAnsi="宋体"/>
          <w:sz w:val="44"/>
          <w:szCs w:val="44"/>
        </w:rPr>
      </w:pPr>
    </w:p>
    <w:p w14:paraId="16282ED0">
      <w:pPr>
        <w:spacing w:line="240" w:lineRule="atLeast"/>
        <w:jc w:val="center"/>
        <w:rPr>
          <w:rFonts w:ascii="宋体" w:hAnsi="宋体"/>
          <w:sz w:val="44"/>
          <w:szCs w:val="44"/>
        </w:rPr>
      </w:pPr>
    </w:p>
    <w:p w14:paraId="3A6569CC">
      <w:pPr>
        <w:spacing w:line="240" w:lineRule="atLeast"/>
        <w:jc w:val="center"/>
        <w:rPr>
          <w:rFonts w:ascii="宋体" w:hAnsi="宋体"/>
          <w:sz w:val="44"/>
          <w:szCs w:val="44"/>
        </w:rPr>
      </w:pPr>
    </w:p>
    <w:p w14:paraId="09F282AA">
      <w:pPr>
        <w:spacing w:line="240" w:lineRule="atLeast"/>
        <w:jc w:val="center"/>
        <w:rPr>
          <w:rFonts w:ascii="宋体" w:hAnsi="宋体"/>
          <w:sz w:val="44"/>
          <w:szCs w:val="44"/>
        </w:rPr>
      </w:pPr>
    </w:p>
    <w:p w14:paraId="28E01657">
      <w:pPr>
        <w:spacing w:line="240" w:lineRule="atLeast"/>
        <w:jc w:val="center"/>
        <w:rPr>
          <w:rFonts w:ascii="宋体" w:hAnsi="宋体"/>
          <w:sz w:val="44"/>
          <w:szCs w:val="44"/>
        </w:rPr>
      </w:pPr>
    </w:p>
    <w:p w14:paraId="0A1E4208">
      <w:pPr>
        <w:tabs>
          <w:tab w:val="left" w:pos="7377"/>
        </w:tabs>
        <w:spacing w:line="240" w:lineRule="atLeast"/>
        <w:jc w:val="center"/>
        <w:rPr>
          <w:rFonts w:ascii="宋体" w:hAnsi="宋体"/>
          <w:b/>
          <w:sz w:val="44"/>
          <w:szCs w:val="44"/>
        </w:rPr>
      </w:pPr>
      <w:r>
        <w:rPr>
          <w:rFonts w:ascii="宋体" w:hAnsi="宋体"/>
          <w:sz w:val="44"/>
          <w:szCs w:val="44"/>
        </w:rPr>
        <w:drawing>
          <wp:inline distT="0" distB="0" distL="114300" distR="114300">
            <wp:extent cx="657225" cy="504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57225" cy="504825"/>
                    </a:xfrm>
                    <a:prstGeom prst="rect">
                      <a:avLst/>
                    </a:prstGeom>
                    <a:noFill/>
                    <a:ln>
                      <a:noFill/>
                    </a:ln>
                  </pic:spPr>
                </pic:pic>
              </a:graphicData>
            </a:graphic>
          </wp:inline>
        </w:drawing>
      </w:r>
    </w:p>
    <w:p w14:paraId="11CEC189">
      <w:pPr>
        <w:widowControl/>
        <w:spacing w:line="240" w:lineRule="atLeast"/>
        <w:jc w:val="center"/>
        <w:rPr>
          <w:rFonts w:ascii="宋体" w:hAnsi="宋体"/>
          <w:b/>
          <w:kern w:val="0"/>
          <w:sz w:val="36"/>
          <w:szCs w:val="36"/>
        </w:rPr>
      </w:pPr>
      <w:r>
        <w:rPr>
          <w:rFonts w:ascii="宋体" w:hAnsi="宋体"/>
          <w:b/>
          <w:kern w:val="0"/>
          <w:sz w:val="36"/>
          <w:szCs w:val="36"/>
        </w:rPr>
        <w:t>北京国际工程咨询有限公司</w:t>
      </w:r>
    </w:p>
    <w:p w14:paraId="416124F3">
      <w:pPr>
        <w:widowControl/>
        <w:spacing w:line="240" w:lineRule="atLeast"/>
        <w:jc w:val="center"/>
        <w:rPr>
          <w:rFonts w:ascii="宋体" w:hAnsi="宋体"/>
          <w:b/>
          <w:kern w:val="0"/>
          <w:sz w:val="36"/>
          <w:szCs w:val="36"/>
        </w:rPr>
      </w:pPr>
      <w:r>
        <w:rPr>
          <w:rFonts w:ascii="宋体" w:hAnsi="宋体"/>
          <w:b/>
          <w:kern w:val="0"/>
          <w:sz w:val="36"/>
          <w:szCs w:val="36"/>
        </w:rPr>
        <w:t>202</w:t>
      </w:r>
      <w:r>
        <w:rPr>
          <w:rFonts w:hint="eastAsia" w:ascii="宋体" w:hAnsi="宋体"/>
          <w:b/>
          <w:kern w:val="0"/>
          <w:sz w:val="36"/>
          <w:szCs w:val="36"/>
        </w:rPr>
        <w:t>4</w:t>
      </w:r>
      <w:r>
        <w:rPr>
          <w:rFonts w:ascii="宋体" w:hAnsi="宋体"/>
          <w:b/>
          <w:kern w:val="0"/>
          <w:sz w:val="36"/>
          <w:szCs w:val="36"/>
        </w:rPr>
        <w:t>年</w:t>
      </w:r>
      <w:r>
        <w:rPr>
          <w:rFonts w:hint="eastAsia" w:ascii="宋体" w:hAnsi="宋体"/>
          <w:b/>
          <w:kern w:val="0"/>
          <w:sz w:val="36"/>
          <w:szCs w:val="36"/>
        </w:rPr>
        <w:t>12</w:t>
      </w:r>
      <w:r>
        <w:rPr>
          <w:rFonts w:ascii="宋体" w:hAnsi="宋体"/>
          <w:b/>
          <w:kern w:val="0"/>
          <w:sz w:val="36"/>
          <w:szCs w:val="36"/>
        </w:rPr>
        <w:t>月</w:t>
      </w:r>
    </w:p>
    <w:p w14:paraId="37F404BF">
      <w:pPr>
        <w:widowControl/>
        <w:jc w:val="left"/>
        <w:rPr>
          <w:rFonts w:ascii="宋体" w:hAnsi="宋体"/>
          <w:sz w:val="36"/>
          <w:szCs w:val="36"/>
        </w:rPr>
      </w:pPr>
      <w:r>
        <w:rPr>
          <w:rFonts w:ascii="宋体" w:hAnsi="宋体"/>
          <w:sz w:val="36"/>
          <w:szCs w:val="36"/>
        </w:rPr>
        <w:br w:type="page"/>
      </w:r>
    </w:p>
    <w:p w14:paraId="4DFE7CF6">
      <w:pPr>
        <w:widowControl/>
        <w:jc w:val="left"/>
        <w:rPr>
          <w:rFonts w:ascii="宋体" w:hAnsi="宋体"/>
          <w:szCs w:val="21"/>
        </w:rPr>
      </w:pPr>
    </w:p>
    <w:p w14:paraId="00E21B57">
      <w:pPr>
        <w:widowControl/>
        <w:jc w:val="left"/>
        <w:rPr>
          <w:rFonts w:ascii="宋体" w:hAnsi="宋体"/>
          <w:szCs w:val="21"/>
        </w:rPr>
      </w:pPr>
    </w:p>
    <w:p w14:paraId="62B779EB">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目录</w:t>
      </w:r>
    </w:p>
    <w:p w14:paraId="06A71D28">
      <w:pPr>
        <w:pStyle w:val="24"/>
      </w:pPr>
    </w:p>
    <w:p w14:paraId="233144C3">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TOC \o "1-1" \h \u </w:instrText>
      </w:r>
      <w:r>
        <w:rPr>
          <w:rFonts w:hint="eastAsia" w:asciiTheme="minorEastAsia" w:hAnsiTheme="minorEastAsia" w:eastAsiaTheme="minorEastAsia" w:cstheme="minorEastAsia"/>
          <w:b/>
          <w:bCs/>
          <w:sz w:val="24"/>
          <w:szCs w:val="24"/>
        </w:rPr>
        <w:fldChar w:fldCharType="separate"/>
      </w:r>
      <w:r>
        <w:fldChar w:fldCharType="begin"/>
      </w:r>
      <w:r>
        <w:instrText xml:space="preserve"> HYPERLINK \l "_Toc2098" </w:instrText>
      </w:r>
      <w:r>
        <w:fldChar w:fldCharType="separate"/>
      </w:r>
      <w:r>
        <w:rPr>
          <w:rFonts w:ascii="宋体" w:hAnsi="宋体"/>
          <w:szCs w:val="44"/>
        </w:rPr>
        <w:t xml:space="preserve">第一章 </w:t>
      </w:r>
      <w:r>
        <w:rPr>
          <w:rFonts w:hint="eastAsia" w:ascii="宋体" w:hAnsi="宋体"/>
          <w:szCs w:val="44"/>
        </w:rPr>
        <w:t>遴选公告</w:t>
      </w:r>
      <w:r>
        <w:tab/>
      </w:r>
      <w:r>
        <w:fldChar w:fldCharType="begin"/>
      </w:r>
      <w:r>
        <w:instrText xml:space="preserve"> PAGEREF _Toc2098 \h </w:instrText>
      </w:r>
      <w:r>
        <w:fldChar w:fldCharType="separate"/>
      </w:r>
      <w:r>
        <w:t>3</w:t>
      </w:r>
      <w:r>
        <w:fldChar w:fldCharType="end"/>
      </w:r>
      <w:r>
        <w:fldChar w:fldCharType="end"/>
      </w:r>
    </w:p>
    <w:p w14:paraId="3D0D9FD9">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"_Toc3692" </w:instrText>
      </w:r>
      <w:r>
        <w:fldChar w:fldCharType="separate"/>
      </w:r>
      <w:r>
        <w:rPr>
          <w:rFonts w:ascii="宋体" w:hAnsi="宋体"/>
          <w:szCs w:val="44"/>
        </w:rPr>
        <w:t xml:space="preserve">第二章 </w:t>
      </w:r>
      <w:r>
        <w:rPr>
          <w:rFonts w:hint="eastAsia" w:ascii="宋体" w:hAnsi="宋体"/>
          <w:szCs w:val="44"/>
        </w:rPr>
        <w:t>供应商须知</w:t>
      </w:r>
      <w:r>
        <w:tab/>
      </w:r>
      <w:r>
        <w:fldChar w:fldCharType="begin"/>
      </w:r>
      <w:r>
        <w:instrText xml:space="preserve"> PAGEREF _Toc3692 \h </w:instrText>
      </w:r>
      <w:r>
        <w:fldChar w:fldCharType="separate"/>
      </w:r>
      <w:r>
        <w:t>6</w:t>
      </w:r>
      <w:r>
        <w:fldChar w:fldCharType="end"/>
      </w:r>
      <w:r>
        <w:fldChar w:fldCharType="end"/>
      </w:r>
    </w:p>
    <w:p w14:paraId="40A9F11C">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"_Toc2360" </w:instrText>
      </w:r>
      <w:r>
        <w:fldChar w:fldCharType="separate"/>
      </w:r>
      <w:r>
        <w:rPr>
          <w:rFonts w:ascii="宋体" w:hAnsi="宋体"/>
          <w:szCs w:val="44"/>
        </w:rPr>
        <w:t xml:space="preserve">第三章 </w:t>
      </w:r>
      <w:r>
        <w:rPr>
          <w:rFonts w:hint="eastAsia" w:ascii="宋体" w:hAnsi="宋体"/>
          <w:szCs w:val="44"/>
        </w:rPr>
        <w:t>技术要求</w:t>
      </w:r>
      <w:r>
        <w:tab/>
      </w:r>
      <w:r>
        <w:fldChar w:fldCharType="begin"/>
      </w:r>
      <w:r>
        <w:instrText xml:space="preserve"> PAGEREF _Toc2360 \h </w:instrText>
      </w:r>
      <w:r>
        <w:fldChar w:fldCharType="separate"/>
      </w:r>
      <w:r>
        <w:t>12</w:t>
      </w:r>
      <w:r>
        <w:fldChar w:fldCharType="end"/>
      </w:r>
      <w:r>
        <w:fldChar w:fldCharType="end"/>
      </w:r>
    </w:p>
    <w:p w14:paraId="772B24FB">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"_Toc27732" </w:instrText>
      </w:r>
      <w:r>
        <w:fldChar w:fldCharType="separate"/>
      </w:r>
      <w:r>
        <w:rPr>
          <w:rFonts w:ascii="宋体" w:hAnsi="宋体"/>
          <w:szCs w:val="44"/>
        </w:rPr>
        <w:t xml:space="preserve">第四章 </w:t>
      </w:r>
      <w:r>
        <w:rPr>
          <w:rFonts w:hint="eastAsia" w:ascii="宋体" w:hAnsi="宋体"/>
          <w:szCs w:val="44"/>
        </w:rPr>
        <w:t>合同文本</w:t>
      </w:r>
      <w:r>
        <w:tab/>
      </w:r>
      <w:r>
        <w:fldChar w:fldCharType="begin"/>
      </w:r>
      <w:r>
        <w:instrText xml:space="preserve"> PAGEREF _Toc27732 \h </w:instrText>
      </w:r>
      <w:r>
        <w:fldChar w:fldCharType="separate"/>
      </w:r>
      <w:r>
        <w:t>14</w:t>
      </w:r>
      <w:r>
        <w:fldChar w:fldCharType="end"/>
      </w:r>
      <w:r>
        <w:fldChar w:fldCharType="end"/>
      </w:r>
    </w:p>
    <w:p w14:paraId="4CEB4C89">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"_Toc694" </w:instrText>
      </w:r>
      <w:r>
        <w:fldChar w:fldCharType="separate"/>
      </w:r>
      <w:r>
        <w:rPr>
          <w:rFonts w:ascii="宋体" w:hAnsi="宋体"/>
          <w:szCs w:val="44"/>
        </w:rPr>
        <w:t xml:space="preserve">第五章 </w:t>
      </w:r>
      <w:r>
        <w:rPr>
          <w:rFonts w:hint="eastAsia" w:ascii="宋体" w:hAnsi="宋体"/>
          <w:szCs w:val="44"/>
        </w:rPr>
        <w:t>附件</w:t>
      </w:r>
      <w:r>
        <w:rPr>
          <w:rFonts w:ascii="宋体" w:hAnsi="宋体"/>
          <w:szCs w:val="44"/>
        </w:rPr>
        <w:t>—</w:t>
      </w:r>
      <w:r>
        <w:rPr>
          <w:rFonts w:hint="eastAsia" w:ascii="宋体" w:hAnsi="宋体"/>
          <w:szCs w:val="44"/>
        </w:rPr>
        <w:t>响应文件格式</w:t>
      </w:r>
      <w:r>
        <w:tab/>
      </w:r>
      <w:r>
        <w:fldChar w:fldCharType="begin"/>
      </w:r>
      <w:r>
        <w:instrText xml:space="preserve"> PAGEREF _Toc694 \h </w:instrText>
      </w:r>
      <w:r>
        <w:fldChar w:fldCharType="separate"/>
      </w:r>
      <w:r>
        <w:t>20</w:t>
      </w:r>
      <w:r>
        <w:fldChar w:fldCharType="end"/>
      </w:r>
      <w:r>
        <w:fldChar w:fldCharType="end"/>
      </w:r>
    </w:p>
    <w:p w14:paraId="4F0534DC">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"_Toc26655" </w:instrText>
      </w:r>
      <w:r>
        <w:fldChar w:fldCharType="separate"/>
      </w:r>
      <w:r>
        <w:rPr>
          <w:szCs w:val="24"/>
        </w:rPr>
        <w:t xml:space="preserve">附件 1. </w:t>
      </w:r>
      <w:r>
        <w:rPr>
          <w:rFonts w:hint="eastAsia" w:ascii="宋体" w:hAnsi="宋体"/>
          <w:szCs w:val="24"/>
        </w:rPr>
        <w:t>报价表</w:t>
      </w:r>
      <w:r>
        <w:tab/>
      </w:r>
      <w:r>
        <w:fldChar w:fldCharType="begin"/>
      </w:r>
      <w:r>
        <w:instrText xml:space="preserve"> PAGEREF _Toc26655 \h </w:instrText>
      </w:r>
      <w:r>
        <w:fldChar w:fldCharType="separate"/>
      </w:r>
      <w:r>
        <w:t>21</w:t>
      </w:r>
      <w:r>
        <w:fldChar w:fldCharType="end"/>
      </w:r>
      <w:r>
        <w:fldChar w:fldCharType="end"/>
      </w:r>
    </w:p>
    <w:p w14:paraId="3E8BE77D">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"_Toc18219" </w:instrText>
      </w:r>
      <w:r>
        <w:fldChar w:fldCharType="separate"/>
      </w:r>
      <w:r>
        <w:rPr>
          <w:szCs w:val="24"/>
        </w:rPr>
        <w:t xml:space="preserve">附件 2. </w:t>
      </w:r>
      <w:r>
        <w:rPr>
          <w:rFonts w:ascii="宋体" w:hAnsi="宋体"/>
          <w:szCs w:val="24"/>
        </w:rPr>
        <w:t>报价明细表</w:t>
      </w:r>
      <w:r>
        <w:tab/>
      </w:r>
      <w:r>
        <w:fldChar w:fldCharType="begin"/>
      </w:r>
      <w:r>
        <w:instrText xml:space="preserve"> PAGEREF _Toc18219 \h </w:instrText>
      </w:r>
      <w:r>
        <w:fldChar w:fldCharType="separate"/>
      </w:r>
      <w:r>
        <w:t>22</w:t>
      </w:r>
      <w:r>
        <w:fldChar w:fldCharType="end"/>
      </w:r>
      <w:r>
        <w:fldChar w:fldCharType="end"/>
      </w:r>
    </w:p>
    <w:p w14:paraId="64021497">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"_Toc8544" </w:instrText>
      </w:r>
      <w:r>
        <w:fldChar w:fldCharType="separate"/>
      </w:r>
      <w:r>
        <w:rPr>
          <w:szCs w:val="24"/>
        </w:rPr>
        <w:t xml:space="preserve">附件 3. </w:t>
      </w:r>
      <w:r>
        <w:rPr>
          <w:rFonts w:hint="eastAsia" w:ascii="宋体" w:hAnsi="宋体"/>
          <w:szCs w:val="24"/>
        </w:rPr>
        <w:t>营业执照</w:t>
      </w:r>
      <w:r>
        <w:tab/>
      </w:r>
      <w:r>
        <w:fldChar w:fldCharType="begin"/>
      </w:r>
      <w:r>
        <w:instrText xml:space="preserve"> PAGEREF _Toc8544 \h </w:instrText>
      </w:r>
      <w:r>
        <w:fldChar w:fldCharType="separate"/>
      </w:r>
      <w:r>
        <w:t>23</w:t>
      </w:r>
      <w:r>
        <w:fldChar w:fldCharType="end"/>
      </w:r>
      <w:r>
        <w:fldChar w:fldCharType="end"/>
      </w:r>
    </w:p>
    <w:p w14:paraId="6E82C684">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"_Toc32036" </w:instrText>
      </w:r>
      <w:r>
        <w:fldChar w:fldCharType="separate"/>
      </w:r>
      <w:r>
        <w:rPr>
          <w:szCs w:val="24"/>
        </w:rPr>
        <w:t xml:space="preserve">附件 4. </w:t>
      </w:r>
      <w:r>
        <w:rPr>
          <w:rFonts w:hint="eastAsia" w:ascii="宋体" w:hAnsi="宋体"/>
          <w:szCs w:val="24"/>
        </w:rPr>
        <w:t>声明</w:t>
      </w:r>
      <w:r>
        <w:tab/>
      </w:r>
      <w:r>
        <w:fldChar w:fldCharType="begin"/>
      </w:r>
      <w:r>
        <w:instrText xml:space="preserve"> PAGEREF _Toc32036 \h </w:instrText>
      </w:r>
      <w:r>
        <w:fldChar w:fldCharType="separate"/>
      </w:r>
      <w:r>
        <w:t>24</w:t>
      </w:r>
      <w:r>
        <w:fldChar w:fldCharType="end"/>
      </w:r>
      <w:r>
        <w:fldChar w:fldCharType="end"/>
      </w:r>
    </w:p>
    <w:p w14:paraId="0A4DB108">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"_Toc31070" </w:instrText>
      </w:r>
      <w:r>
        <w:fldChar w:fldCharType="separate"/>
      </w:r>
      <w:r>
        <w:rPr>
          <w:szCs w:val="24"/>
        </w:rPr>
        <w:t xml:space="preserve">附件 5. </w:t>
      </w:r>
      <w:r>
        <w:rPr>
          <w:rFonts w:hint="eastAsia" w:ascii="宋体" w:hAnsi="宋体"/>
          <w:szCs w:val="24"/>
        </w:rPr>
        <w:t>供应商在“信用中国”的信用查询记录</w:t>
      </w:r>
      <w:r>
        <w:tab/>
      </w:r>
      <w:r>
        <w:fldChar w:fldCharType="begin"/>
      </w:r>
      <w:r>
        <w:instrText xml:space="preserve"> PAGEREF _Toc31070 \h </w:instrText>
      </w:r>
      <w:r>
        <w:fldChar w:fldCharType="separate"/>
      </w:r>
      <w:r>
        <w:t>25</w:t>
      </w:r>
      <w:r>
        <w:fldChar w:fldCharType="end"/>
      </w:r>
      <w:r>
        <w:fldChar w:fldCharType="end"/>
      </w:r>
    </w:p>
    <w:p w14:paraId="279BDE8F">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"_Toc10770" </w:instrText>
      </w:r>
      <w:r>
        <w:fldChar w:fldCharType="separate"/>
      </w:r>
      <w:r>
        <w:rPr>
          <w:szCs w:val="24"/>
        </w:rPr>
        <w:t xml:space="preserve">附件 6. </w:t>
      </w:r>
      <w:r>
        <w:rPr>
          <w:rFonts w:hint="eastAsia" w:ascii="宋体" w:hAnsi="宋体"/>
          <w:szCs w:val="24"/>
        </w:rPr>
        <w:t>法定代表人授权书</w:t>
      </w:r>
      <w:r>
        <w:tab/>
      </w:r>
      <w:r>
        <w:fldChar w:fldCharType="begin"/>
      </w:r>
      <w:r>
        <w:instrText xml:space="preserve"> PAGEREF _Toc10770 \h </w:instrText>
      </w:r>
      <w:r>
        <w:fldChar w:fldCharType="separate"/>
      </w:r>
      <w:r>
        <w:t>26</w:t>
      </w:r>
      <w:r>
        <w:fldChar w:fldCharType="end"/>
      </w:r>
      <w:r>
        <w:fldChar w:fldCharType="end"/>
      </w:r>
    </w:p>
    <w:p w14:paraId="3A98FE62">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"_Toc27645" </w:instrText>
      </w:r>
      <w:r>
        <w:fldChar w:fldCharType="separate"/>
      </w:r>
      <w:r>
        <w:rPr>
          <w:szCs w:val="24"/>
        </w:rPr>
        <w:t xml:space="preserve">附件 7. </w:t>
      </w:r>
      <w:r>
        <w:rPr>
          <w:rFonts w:hint="eastAsia" w:ascii="宋体" w:hAnsi="宋体"/>
          <w:szCs w:val="24"/>
        </w:rPr>
        <w:t>供应商基本情况表</w:t>
      </w:r>
      <w:r>
        <w:tab/>
      </w:r>
      <w:r>
        <w:fldChar w:fldCharType="begin"/>
      </w:r>
      <w:r>
        <w:instrText xml:space="preserve"> PAGEREF _Toc27645 \h </w:instrText>
      </w:r>
      <w:r>
        <w:fldChar w:fldCharType="separate"/>
      </w:r>
      <w:r>
        <w:t>27</w:t>
      </w:r>
      <w:r>
        <w:fldChar w:fldCharType="end"/>
      </w:r>
      <w:r>
        <w:fldChar w:fldCharType="end"/>
      </w:r>
    </w:p>
    <w:p w14:paraId="0AB6713D">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"_Toc7577" </w:instrText>
      </w:r>
      <w:r>
        <w:fldChar w:fldCharType="separate"/>
      </w:r>
      <w:r>
        <w:rPr>
          <w:szCs w:val="24"/>
        </w:rPr>
        <w:t>附件 8. 业绩证明文件</w:t>
      </w:r>
      <w:r>
        <w:tab/>
      </w:r>
      <w:r>
        <w:fldChar w:fldCharType="begin"/>
      </w:r>
      <w:r>
        <w:instrText xml:space="preserve"> PAGEREF _Toc7577 \h </w:instrText>
      </w:r>
      <w:r>
        <w:fldChar w:fldCharType="separate"/>
      </w:r>
      <w:r>
        <w:t>28</w:t>
      </w:r>
      <w:r>
        <w:fldChar w:fldCharType="end"/>
      </w:r>
      <w:r>
        <w:fldChar w:fldCharType="end"/>
      </w:r>
    </w:p>
    <w:p w14:paraId="3D9994E0">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"_Toc2139" </w:instrText>
      </w:r>
      <w:r>
        <w:fldChar w:fldCharType="separate"/>
      </w:r>
      <w:r>
        <w:rPr>
          <w:szCs w:val="24"/>
        </w:rPr>
        <w:t xml:space="preserve">附件 9. </w:t>
      </w:r>
      <w:r>
        <w:rPr>
          <w:rFonts w:hint="eastAsia"/>
          <w:szCs w:val="24"/>
        </w:rPr>
        <w:t>项目</w:t>
      </w:r>
      <w:r>
        <w:rPr>
          <w:szCs w:val="24"/>
        </w:rPr>
        <w:t>团队</w:t>
      </w:r>
      <w:r>
        <w:tab/>
      </w:r>
      <w:r>
        <w:fldChar w:fldCharType="begin"/>
      </w:r>
      <w:r>
        <w:instrText xml:space="preserve"> PAGEREF _Toc2139 \h </w:instrText>
      </w:r>
      <w:r>
        <w:fldChar w:fldCharType="separate"/>
      </w:r>
      <w:r>
        <w:t>29</w:t>
      </w:r>
      <w:r>
        <w:fldChar w:fldCharType="end"/>
      </w:r>
      <w:r>
        <w:fldChar w:fldCharType="end"/>
      </w:r>
    </w:p>
    <w:p w14:paraId="32693E84">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"_Toc22594" </w:instrText>
      </w:r>
      <w:r>
        <w:fldChar w:fldCharType="separate"/>
      </w:r>
      <w:r>
        <w:rPr>
          <w:szCs w:val="24"/>
        </w:rPr>
        <w:t xml:space="preserve">附件 10. </w:t>
      </w:r>
      <w:r>
        <w:rPr>
          <w:rFonts w:hint="eastAsia" w:ascii="宋体" w:hAnsi="宋体"/>
          <w:szCs w:val="24"/>
        </w:rPr>
        <w:t>技术文件</w:t>
      </w:r>
      <w:r>
        <w:tab/>
      </w:r>
      <w:r>
        <w:fldChar w:fldCharType="begin"/>
      </w:r>
      <w:r>
        <w:instrText xml:space="preserve"> PAGEREF _Toc22594 \h </w:instrText>
      </w:r>
      <w:r>
        <w:fldChar w:fldCharType="separate"/>
      </w:r>
      <w:r>
        <w:t>30</w:t>
      </w:r>
      <w:r>
        <w:fldChar w:fldCharType="end"/>
      </w:r>
      <w:r>
        <w:fldChar w:fldCharType="end"/>
      </w:r>
    </w:p>
    <w:p w14:paraId="421695AF">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"_Toc19258" </w:instrText>
      </w:r>
      <w:r>
        <w:fldChar w:fldCharType="separate"/>
      </w:r>
      <w:r>
        <w:rPr>
          <w:szCs w:val="24"/>
        </w:rPr>
        <w:t xml:space="preserve">附件 11. </w:t>
      </w:r>
      <w:r>
        <w:rPr>
          <w:rFonts w:hint="eastAsia" w:ascii="宋体" w:hAnsi="宋体"/>
          <w:szCs w:val="24"/>
        </w:rPr>
        <w:t>遴选文件要求的或供应商认为必要的其他文件</w:t>
      </w:r>
      <w:r>
        <w:tab/>
      </w:r>
      <w:r>
        <w:fldChar w:fldCharType="begin"/>
      </w:r>
      <w:r>
        <w:instrText xml:space="preserve"> PAGEREF _Toc19258 \h </w:instrText>
      </w:r>
      <w:r>
        <w:fldChar w:fldCharType="separate"/>
      </w:r>
      <w:r>
        <w:t>31</w:t>
      </w:r>
      <w:r>
        <w:fldChar w:fldCharType="end"/>
      </w:r>
      <w:r>
        <w:fldChar w:fldCharType="end"/>
      </w:r>
    </w:p>
    <w:p w14:paraId="1C41AA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b/>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Cs/>
          <w:szCs w:val="24"/>
        </w:rPr>
        <w:fldChar w:fldCharType="end"/>
      </w:r>
    </w:p>
    <w:p w14:paraId="1B9B1EED">
      <w:pPr>
        <w:spacing w:line="360" w:lineRule="auto"/>
        <w:rPr>
          <w:rFonts w:ascii="宋体" w:hAnsi="宋体"/>
          <w:szCs w:val="21"/>
        </w:rPr>
      </w:pPr>
    </w:p>
    <w:p w14:paraId="7D1F53DF">
      <w:pPr>
        <w:spacing w:line="360" w:lineRule="auto"/>
        <w:rPr>
          <w:rFonts w:ascii="宋体" w:hAnsi="宋体"/>
          <w:szCs w:val="21"/>
        </w:rPr>
      </w:pPr>
    </w:p>
    <w:p w14:paraId="79C7FD0C">
      <w:pPr>
        <w:spacing w:line="360" w:lineRule="auto"/>
        <w:rPr>
          <w:rFonts w:ascii="宋体" w:hAnsi="宋体"/>
          <w:szCs w:val="21"/>
        </w:rPr>
      </w:pPr>
    </w:p>
    <w:p w14:paraId="081B9EB5">
      <w:pPr>
        <w:spacing w:line="360" w:lineRule="auto"/>
        <w:rPr>
          <w:rFonts w:ascii="宋体" w:hAnsi="宋体"/>
          <w:szCs w:val="21"/>
        </w:rPr>
      </w:pPr>
    </w:p>
    <w:p w14:paraId="2CAB9E29">
      <w:pPr>
        <w:spacing w:line="360" w:lineRule="auto"/>
        <w:rPr>
          <w:rFonts w:ascii="宋体" w:hAnsi="宋体"/>
          <w:szCs w:val="21"/>
        </w:rPr>
      </w:pPr>
    </w:p>
    <w:p w14:paraId="315EF4B1">
      <w:pPr>
        <w:spacing w:line="360" w:lineRule="auto"/>
        <w:rPr>
          <w:rFonts w:ascii="宋体" w:hAnsi="宋体"/>
          <w:szCs w:val="21"/>
        </w:rPr>
      </w:pPr>
    </w:p>
    <w:p w14:paraId="502EBE12">
      <w:pPr>
        <w:spacing w:line="360" w:lineRule="auto"/>
        <w:rPr>
          <w:rFonts w:ascii="宋体" w:hAnsi="宋体"/>
          <w:szCs w:val="21"/>
        </w:rPr>
      </w:pPr>
    </w:p>
    <w:p w14:paraId="48F1ED2B">
      <w:pPr>
        <w:spacing w:line="360" w:lineRule="auto"/>
        <w:rPr>
          <w:rFonts w:ascii="宋体" w:hAnsi="宋体"/>
          <w:szCs w:val="21"/>
        </w:rPr>
      </w:pPr>
    </w:p>
    <w:p w14:paraId="51DBD005">
      <w:pPr>
        <w:spacing w:line="360" w:lineRule="auto"/>
        <w:rPr>
          <w:rFonts w:ascii="宋体" w:hAnsi="宋体"/>
          <w:szCs w:val="21"/>
        </w:rPr>
      </w:pPr>
    </w:p>
    <w:p w14:paraId="4C8A18BE">
      <w:pPr>
        <w:spacing w:line="360" w:lineRule="auto"/>
        <w:rPr>
          <w:rFonts w:ascii="宋体" w:hAnsi="宋体"/>
          <w:szCs w:val="21"/>
        </w:rPr>
      </w:pPr>
    </w:p>
    <w:p w14:paraId="4C1E6EED">
      <w:pPr>
        <w:pStyle w:val="39"/>
        <w:numPr>
          <w:ilvl w:val="0"/>
          <w:numId w:val="1"/>
        </w:numPr>
        <w:spacing w:line="360" w:lineRule="auto"/>
        <w:ind w:left="1276" w:hanging="1276" w:firstLineChars="0"/>
        <w:jc w:val="center"/>
        <w:outlineLvl w:val="0"/>
        <w:rPr>
          <w:rFonts w:ascii="宋体" w:hAnsi="宋体"/>
          <w:b/>
          <w:sz w:val="44"/>
          <w:szCs w:val="44"/>
        </w:rPr>
      </w:pPr>
      <w:bookmarkStart w:id="0" w:name="_Toc2098"/>
      <w:bookmarkStart w:id="1" w:name="_Toc24056"/>
      <w:bookmarkStart w:id="2" w:name="_Toc376176808"/>
      <w:bookmarkStart w:id="3" w:name="_Toc405464691"/>
      <w:r>
        <w:rPr>
          <w:rFonts w:hint="eastAsia" w:ascii="宋体" w:hAnsi="宋体"/>
          <w:b/>
          <w:sz w:val="44"/>
          <w:szCs w:val="44"/>
        </w:rPr>
        <w:t>遴选</w:t>
      </w:r>
      <w:r>
        <w:rPr>
          <w:rFonts w:hint="eastAsia" w:ascii="宋体" w:hAnsi="宋体"/>
          <w:b/>
          <w:sz w:val="44"/>
          <w:szCs w:val="44"/>
          <w:lang w:val="en-US" w:eastAsia="zh-CN"/>
        </w:rPr>
        <w:t>公告</w:t>
      </w:r>
      <w:bookmarkEnd w:id="0"/>
      <w:bookmarkEnd w:id="1"/>
    </w:p>
    <w:p w14:paraId="17D1575E">
      <w:pPr>
        <w:spacing w:line="360" w:lineRule="auto"/>
        <w:ind w:firstLine="420" w:firstLineChars="200"/>
        <w:rPr>
          <w:rFonts w:ascii="宋体" w:hAnsi="宋体"/>
          <w:szCs w:val="21"/>
        </w:rPr>
      </w:pPr>
    </w:p>
    <w:p w14:paraId="24136A4B">
      <w:pPr>
        <w:spacing w:line="360" w:lineRule="auto"/>
        <w:ind w:firstLine="420" w:firstLineChars="200"/>
        <w:rPr>
          <w:rFonts w:ascii="宋体" w:hAnsi="宋体"/>
          <w:szCs w:val="21"/>
        </w:rPr>
      </w:pPr>
      <w:r>
        <w:rPr>
          <w:rFonts w:ascii="宋体" w:hAnsi="宋体"/>
          <w:szCs w:val="21"/>
        </w:rPr>
        <w:br w:type="page"/>
      </w:r>
    </w:p>
    <w:p w14:paraId="4A5C38B3">
      <w:pPr>
        <w:pStyle w:val="39"/>
        <w:spacing w:line="360" w:lineRule="auto"/>
        <w:ind w:firstLine="0" w:firstLineChars="0"/>
        <w:jc w:val="center"/>
        <w:rPr>
          <w:rFonts w:ascii="宋体" w:hAnsi="宋体"/>
          <w:b/>
          <w:szCs w:val="21"/>
        </w:rPr>
      </w:pPr>
      <w:bookmarkStart w:id="4" w:name="_Toc509224146"/>
      <w:bookmarkStart w:id="5" w:name="_Toc407613045"/>
      <w:bookmarkStart w:id="6" w:name="_Toc120707443"/>
      <w:bookmarkStart w:id="7" w:name="_Toc17392446"/>
      <w:bookmarkStart w:id="8" w:name="_Toc406595661"/>
      <w:bookmarkStart w:id="9" w:name="_Toc17392982"/>
      <w:bookmarkStart w:id="10" w:name="_Toc25074"/>
      <w:r>
        <w:rPr>
          <w:rFonts w:hint="eastAsia" w:ascii="宋体" w:hAnsi="宋体"/>
          <w:b/>
          <w:szCs w:val="21"/>
        </w:rPr>
        <w:t>遴选</w:t>
      </w:r>
      <w:bookmarkEnd w:id="4"/>
      <w:bookmarkEnd w:id="5"/>
      <w:bookmarkEnd w:id="6"/>
      <w:bookmarkEnd w:id="7"/>
      <w:bookmarkEnd w:id="8"/>
      <w:bookmarkEnd w:id="9"/>
      <w:r>
        <w:rPr>
          <w:rFonts w:hint="eastAsia" w:ascii="宋体" w:hAnsi="宋体"/>
          <w:b/>
          <w:szCs w:val="21"/>
          <w:lang w:val="en-US" w:eastAsia="zh-CN"/>
        </w:rPr>
        <w:t>公告</w:t>
      </w:r>
      <w:bookmarkEnd w:id="10"/>
    </w:p>
    <w:p w14:paraId="1453D31A">
      <w:pPr>
        <w:spacing w:line="360" w:lineRule="auto"/>
        <w:ind w:firstLine="420" w:firstLineChars="200"/>
        <w:rPr>
          <w:rFonts w:ascii="宋体" w:hAnsi="宋体"/>
          <w:szCs w:val="21"/>
        </w:rPr>
      </w:pPr>
    </w:p>
    <w:p w14:paraId="4CFCD499">
      <w:pPr>
        <w:spacing w:line="360" w:lineRule="auto"/>
        <w:ind w:firstLine="420" w:firstLineChars="200"/>
        <w:rPr>
          <w:rFonts w:ascii="宋体" w:hAnsi="宋体"/>
          <w:bCs/>
          <w:szCs w:val="21"/>
        </w:rPr>
      </w:pPr>
      <w:r>
        <w:rPr>
          <w:rFonts w:hint="eastAsia" w:ascii="宋体" w:hAnsi="宋体"/>
          <w:szCs w:val="21"/>
        </w:rPr>
        <w:t>北京国际工程咨询有限公司受北京市文化和旅游局综合事务中心的委托，对下述项目进行国内公开遴选，欢迎有意愿的供应商前来报名。</w:t>
      </w:r>
    </w:p>
    <w:p w14:paraId="4200A37B">
      <w:pPr>
        <w:numPr>
          <w:ilvl w:val="0"/>
          <w:numId w:val="2"/>
        </w:numPr>
        <w:spacing w:line="360" w:lineRule="auto"/>
        <w:rPr>
          <w:rFonts w:ascii="宋体" w:hAnsi="宋体"/>
          <w:szCs w:val="21"/>
          <w:highlight w:val="none"/>
        </w:rPr>
      </w:pPr>
      <w:r>
        <w:rPr>
          <w:rFonts w:hint="eastAsia" w:ascii="宋体" w:hAnsi="宋体"/>
          <w:b/>
          <w:szCs w:val="21"/>
        </w:rPr>
        <w:t>项目名</w:t>
      </w:r>
      <w:r>
        <w:rPr>
          <w:rFonts w:hint="eastAsia" w:ascii="宋体" w:hAnsi="宋体"/>
          <w:b/>
          <w:szCs w:val="21"/>
          <w:highlight w:val="none"/>
        </w:rPr>
        <w:t>称：</w:t>
      </w:r>
      <w:r>
        <w:rPr>
          <w:rFonts w:hint="eastAsia" w:ascii="宋体" w:hAnsi="宋体"/>
          <w:bCs/>
          <w:szCs w:val="21"/>
          <w:highlight w:val="none"/>
        </w:rPr>
        <w:t>改制自收自支事业单位代管退休、在职人员补充医疗费用</w:t>
      </w:r>
    </w:p>
    <w:p w14:paraId="60D452D8">
      <w:pPr>
        <w:numPr>
          <w:ilvl w:val="0"/>
          <w:numId w:val="2"/>
        </w:numPr>
        <w:spacing w:line="360" w:lineRule="auto"/>
        <w:rPr>
          <w:rFonts w:ascii="宋体" w:hAnsi="宋体"/>
          <w:szCs w:val="21"/>
          <w:highlight w:val="none"/>
        </w:rPr>
      </w:pPr>
      <w:r>
        <w:rPr>
          <w:rFonts w:ascii="宋体" w:hAnsi="宋体"/>
          <w:b/>
          <w:szCs w:val="21"/>
          <w:highlight w:val="none"/>
        </w:rPr>
        <w:t>项目编号</w:t>
      </w:r>
      <w:r>
        <w:rPr>
          <w:rFonts w:hint="eastAsia" w:ascii="宋体" w:hAnsi="宋体"/>
          <w:b/>
          <w:szCs w:val="21"/>
          <w:highlight w:val="none"/>
        </w:rPr>
        <w:t>：</w:t>
      </w:r>
      <w:r>
        <w:rPr>
          <w:rFonts w:hint="eastAsia" w:ascii="宋体" w:hAnsi="宋体"/>
          <w:szCs w:val="21"/>
          <w:highlight w:val="none"/>
        </w:rPr>
        <w:t>BIECC-24CG104</w:t>
      </w:r>
      <w:r>
        <w:rPr>
          <w:rFonts w:hint="eastAsia" w:ascii="宋体" w:hAnsi="宋体"/>
          <w:szCs w:val="21"/>
          <w:highlight w:val="none"/>
          <w:lang w:val="en-US" w:eastAsia="zh-CN"/>
        </w:rPr>
        <w:t>16</w:t>
      </w:r>
    </w:p>
    <w:p w14:paraId="058066F2">
      <w:pPr>
        <w:numPr>
          <w:ilvl w:val="0"/>
          <w:numId w:val="2"/>
        </w:numPr>
        <w:spacing w:line="360" w:lineRule="auto"/>
        <w:rPr>
          <w:rFonts w:ascii="宋体" w:hAnsi="宋体"/>
          <w:szCs w:val="21"/>
          <w:highlight w:val="none"/>
        </w:rPr>
      </w:pPr>
      <w:r>
        <w:rPr>
          <w:rFonts w:hint="eastAsia" w:ascii="宋体" w:hAnsi="宋体"/>
          <w:b/>
          <w:szCs w:val="21"/>
          <w:highlight w:val="none"/>
        </w:rPr>
        <w:t>项目内容：</w:t>
      </w:r>
      <w:r>
        <w:rPr>
          <w:szCs w:val="21"/>
          <w:highlight w:val="none"/>
        </w:rPr>
        <w:t>如下表，具体要求见第</w:t>
      </w:r>
      <w:r>
        <w:rPr>
          <w:rFonts w:hint="eastAsia"/>
          <w:szCs w:val="21"/>
          <w:highlight w:val="none"/>
        </w:rPr>
        <w:t>四</w:t>
      </w:r>
      <w:r>
        <w:rPr>
          <w:szCs w:val="21"/>
          <w:highlight w:val="none"/>
        </w:rPr>
        <w:t>章“</w:t>
      </w:r>
      <w:r>
        <w:rPr>
          <w:rFonts w:hint="eastAsia"/>
          <w:szCs w:val="21"/>
          <w:highlight w:val="none"/>
        </w:rPr>
        <w:t>技术</w:t>
      </w:r>
      <w:r>
        <w:rPr>
          <w:szCs w:val="21"/>
          <w:highlight w:val="none"/>
        </w:rPr>
        <w:t>要求”。</w:t>
      </w:r>
    </w:p>
    <w:tbl>
      <w:tblPr>
        <w:tblStyle w:val="25"/>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032"/>
        <w:gridCol w:w="3234"/>
        <w:gridCol w:w="1560"/>
      </w:tblGrid>
      <w:tr w14:paraId="7797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0210702D">
            <w:pPr>
              <w:spacing w:line="360" w:lineRule="auto"/>
              <w:jc w:val="center"/>
              <w:rPr>
                <w:rFonts w:ascii="宋体" w:hAnsi="宋体"/>
                <w:b/>
                <w:szCs w:val="21"/>
                <w:highlight w:val="none"/>
              </w:rPr>
            </w:pPr>
            <w:r>
              <w:rPr>
                <w:rFonts w:ascii="宋体" w:hAnsi="宋体"/>
                <w:b/>
                <w:szCs w:val="21"/>
                <w:highlight w:val="none"/>
              </w:rPr>
              <w:t>包号</w:t>
            </w:r>
          </w:p>
        </w:tc>
        <w:tc>
          <w:tcPr>
            <w:tcW w:w="3032" w:type="dxa"/>
            <w:vAlign w:val="center"/>
          </w:tcPr>
          <w:p w14:paraId="0186C452">
            <w:pPr>
              <w:spacing w:line="360" w:lineRule="auto"/>
              <w:jc w:val="center"/>
              <w:rPr>
                <w:rFonts w:ascii="宋体" w:hAnsi="宋体"/>
                <w:b/>
                <w:szCs w:val="21"/>
                <w:highlight w:val="none"/>
              </w:rPr>
            </w:pPr>
            <w:r>
              <w:rPr>
                <w:rFonts w:ascii="宋体" w:hAnsi="宋体"/>
                <w:b/>
                <w:szCs w:val="21"/>
                <w:highlight w:val="none"/>
              </w:rPr>
              <w:t>服务内容</w:t>
            </w:r>
          </w:p>
        </w:tc>
        <w:tc>
          <w:tcPr>
            <w:tcW w:w="3234" w:type="dxa"/>
            <w:vAlign w:val="center"/>
          </w:tcPr>
          <w:p w14:paraId="6C04EE3C">
            <w:pPr>
              <w:spacing w:line="360" w:lineRule="auto"/>
              <w:jc w:val="center"/>
              <w:rPr>
                <w:rFonts w:ascii="宋体" w:hAnsi="宋体"/>
                <w:b/>
                <w:szCs w:val="21"/>
                <w:highlight w:val="none"/>
              </w:rPr>
            </w:pPr>
            <w:r>
              <w:rPr>
                <w:rFonts w:ascii="宋体" w:hAnsi="宋体"/>
                <w:b/>
                <w:szCs w:val="21"/>
                <w:highlight w:val="none"/>
              </w:rPr>
              <w:t>服务</w:t>
            </w:r>
            <w:r>
              <w:rPr>
                <w:rFonts w:hint="eastAsia" w:ascii="宋体" w:hAnsi="宋体"/>
                <w:b/>
                <w:szCs w:val="21"/>
                <w:highlight w:val="none"/>
              </w:rPr>
              <w:t>期限</w:t>
            </w:r>
          </w:p>
        </w:tc>
        <w:tc>
          <w:tcPr>
            <w:tcW w:w="1560" w:type="dxa"/>
            <w:vAlign w:val="center"/>
          </w:tcPr>
          <w:p w14:paraId="38EBBC8C">
            <w:pPr>
              <w:spacing w:line="360" w:lineRule="auto"/>
              <w:jc w:val="center"/>
              <w:rPr>
                <w:rFonts w:ascii="宋体" w:hAnsi="宋体"/>
                <w:b/>
                <w:szCs w:val="21"/>
                <w:highlight w:val="none"/>
              </w:rPr>
            </w:pPr>
            <w:r>
              <w:rPr>
                <w:rFonts w:ascii="宋体" w:hAnsi="宋体"/>
                <w:b/>
                <w:szCs w:val="21"/>
                <w:highlight w:val="none"/>
              </w:rPr>
              <w:t>预算金额</w:t>
            </w:r>
          </w:p>
          <w:p w14:paraId="22DAC5F1">
            <w:pPr>
              <w:spacing w:line="360" w:lineRule="auto"/>
              <w:jc w:val="center"/>
              <w:rPr>
                <w:rFonts w:ascii="宋体" w:hAnsi="宋体"/>
                <w:b/>
                <w:szCs w:val="21"/>
                <w:highlight w:val="none"/>
              </w:rPr>
            </w:pPr>
            <w:r>
              <w:rPr>
                <w:rFonts w:ascii="宋体" w:hAnsi="宋体"/>
                <w:b/>
                <w:szCs w:val="21"/>
                <w:highlight w:val="none"/>
              </w:rPr>
              <w:t>（</w:t>
            </w:r>
            <w:r>
              <w:rPr>
                <w:rFonts w:hint="eastAsia" w:ascii="宋体" w:hAnsi="宋体"/>
                <w:b/>
                <w:szCs w:val="21"/>
                <w:highlight w:val="none"/>
              </w:rPr>
              <w:t>万</w:t>
            </w:r>
            <w:r>
              <w:rPr>
                <w:rFonts w:ascii="宋体" w:hAnsi="宋体"/>
                <w:b/>
                <w:szCs w:val="21"/>
                <w:highlight w:val="none"/>
              </w:rPr>
              <w:t>元）</w:t>
            </w:r>
          </w:p>
        </w:tc>
      </w:tr>
      <w:tr w14:paraId="3BBF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6CA790A5">
            <w:pPr>
              <w:spacing w:line="360" w:lineRule="auto"/>
              <w:jc w:val="center"/>
              <w:rPr>
                <w:rFonts w:ascii="宋体" w:hAnsi="宋体"/>
                <w:szCs w:val="21"/>
                <w:highlight w:val="none"/>
              </w:rPr>
            </w:pPr>
            <w:r>
              <w:rPr>
                <w:rFonts w:hint="eastAsia" w:ascii="宋体" w:hAnsi="宋体"/>
                <w:szCs w:val="21"/>
                <w:highlight w:val="none"/>
              </w:rPr>
              <w:t>01</w:t>
            </w:r>
          </w:p>
        </w:tc>
        <w:tc>
          <w:tcPr>
            <w:tcW w:w="3032" w:type="dxa"/>
            <w:vAlign w:val="center"/>
          </w:tcPr>
          <w:p w14:paraId="0D309F01">
            <w:pPr>
              <w:spacing w:line="360" w:lineRule="auto"/>
              <w:jc w:val="center"/>
              <w:rPr>
                <w:rFonts w:ascii="宋体" w:hAnsi="宋体"/>
                <w:szCs w:val="21"/>
                <w:highlight w:val="none"/>
              </w:rPr>
            </w:pPr>
            <w:r>
              <w:rPr>
                <w:rFonts w:hint="eastAsia" w:ascii="宋体" w:hAnsi="宋体"/>
                <w:bCs/>
                <w:szCs w:val="21"/>
                <w:highlight w:val="none"/>
              </w:rPr>
              <w:t>改制自收自支事业单位代管退休、在职人员补充医疗费用</w:t>
            </w:r>
          </w:p>
        </w:tc>
        <w:tc>
          <w:tcPr>
            <w:tcW w:w="3234" w:type="dxa"/>
            <w:vAlign w:val="center"/>
          </w:tcPr>
          <w:p w14:paraId="294D00D3">
            <w:pPr>
              <w:spacing w:line="360" w:lineRule="auto"/>
              <w:jc w:val="center"/>
              <w:rPr>
                <w:rFonts w:ascii="宋体" w:hAnsi="宋体"/>
                <w:szCs w:val="21"/>
                <w:highlight w:val="none"/>
              </w:rPr>
            </w:pPr>
            <w:r>
              <w:rPr>
                <w:rFonts w:hint="eastAsia" w:ascii="宋体" w:hAnsi="宋体"/>
                <w:bCs/>
                <w:szCs w:val="21"/>
                <w:highlight w:val="none"/>
              </w:rPr>
              <w:t>2025年1月1日起至2025年12月31日止。</w:t>
            </w:r>
          </w:p>
        </w:tc>
        <w:tc>
          <w:tcPr>
            <w:tcW w:w="1560" w:type="dxa"/>
            <w:vAlign w:val="center"/>
          </w:tcPr>
          <w:p w14:paraId="2B2EADC0">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49.22</w:t>
            </w:r>
          </w:p>
        </w:tc>
      </w:tr>
    </w:tbl>
    <w:p w14:paraId="0504AC95">
      <w:pPr>
        <w:spacing w:line="360" w:lineRule="auto"/>
        <w:ind w:left="870"/>
        <w:rPr>
          <w:rFonts w:ascii="宋体" w:hAnsi="宋体"/>
          <w:szCs w:val="21"/>
        </w:rPr>
      </w:pPr>
      <w:r>
        <w:rPr>
          <w:rFonts w:hint="eastAsia" w:ascii="宋体" w:hAnsi="宋体"/>
          <w:szCs w:val="21"/>
        </w:rPr>
        <w:t>注：</w:t>
      </w:r>
      <w:r>
        <w:rPr>
          <w:rFonts w:hint="eastAsia" w:ascii="宋体" w:hAnsi="宋体"/>
          <w:bCs/>
          <w:szCs w:val="21"/>
        </w:rPr>
        <w:t>供应商</w:t>
      </w:r>
      <w:r>
        <w:rPr>
          <w:rFonts w:ascii="宋体" w:hAnsi="宋体"/>
          <w:bCs/>
          <w:szCs w:val="21"/>
        </w:rPr>
        <w:t>报价不能超出</w:t>
      </w:r>
      <w:r>
        <w:rPr>
          <w:rFonts w:hint="eastAsia" w:ascii="宋体" w:hAnsi="宋体"/>
          <w:bCs/>
          <w:szCs w:val="21"/>
        </w:rPr>
        <w:t>预算金额</w:t>
      </w:r>
      <w:r>
        <w:rPr>
          <w:rFonts w:ascii="宋体" w:hAnsi="宋体"/>
          <w:bCs/>
          <w:szCs w:val="21"/>
        </w:rPr>
        <w:t>，否则其</w:t>
      </w:r>
      <w:r>
        <w:rPr>
          <w:rFonts w:hint="eastAsia" w:ascii="宋体" w:hAnsi="宋体"/>
          <w:bCs/>
          <w:szCs w:val="21"/>
        </w:rPr>
        <w:t>响应</w:t>
      </w:r>
      <w:r>
        <w:rPr>
          <w:rFonts w:ascii="宋体" w:hAnsi="宋体"/>
          <w:bCs/>
          <w:szCs w:val="21"/>
        </w:rPr>
        <w:t>将被拒绝。</w:t>
      </w:r>
    </w:p>
    <w:p w14:paraId="7DBB523C">
      <w:pPr>
        <w:numPr>
          <w:ilvl w:val="0"/>
          <w:numId w:val="2"/>
        </w:numPr>
        <w:spacing w:line="360" w:lineRule="auto"/>
        <w:rPr>
          <w:rFonts w:ascii="宋体" w:hAnsi="宋体"/>
          <w:b/>
          <w:bCs/>
          <w:szCs w:val="21"/>
        </w:rPr>
      </w:pPr>
      <w:r>
        <w:rPr>
          <w:rFonts w:hint="eastAsia" w:ascii="宋体" w:hAnsi="宋体"/>
          <w:b/>
          <w:bCs/>
          <w:szCs w:val="21"/>
        </w:rPr>
        <w:t>合格供应商：</w:t>
      </w:r>
      <w:r>
        <w:rPr>
          <w:rFonts w:hint="eastAsia" w:ascii="宋体" w:hAnsi="宋体"/>
          <w:bCs/>
          <w:szCs w:val="21"/>
        </w:rPr>
        <w:t>见第二章“供应商须知”。</w:t>
      </w:r>
    </w:p>
    <w:p w14:paraId="6DE63D2E">
      <w:pPr>
        <w:numPr>
          <w:ilvl w:val="0"/>
          <w:numId w:val="2"/>
        </w:numPr>
        <w:spacing w:line="360" w:lineRule="auto"/>
        <w:rPr>
          <w:rFonts w:ascii="宋体" w:hAnsi="宋体"/>
          <w:b/>
          <w:bCs/>
          <w:szCs w:val="21"/>
          <w:highlight w:val="none"/>
        </w:rPr>
      </w:pPr>
      <w:r>
        <w:rPr>
          <w:rFonts w:ascii="宋体" w:hAnsi="宋体"/>
          <w:b/>
          <w:bCs/>
          <w:szCs w:val="21"/>
          <w:highlight w:val="none"/>
        </w:rPr>
        <w:t>购买遴选文件时间和地点：</w:t>
      </w:r>
    </w:p>
    <w:p w14:paraId="12C93097">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时间：202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18</w:t>
      </w:r>
      <w:r>
        <w:rPr>
          <w:rFonts w:ascii="宋体" w:hAnsi="宋体"/>
          <w:szCs w:val="21"/>
          <w:highlight w:val="none"/>
        </w:rPr>
        <w:t>日起至202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23</w:t>
      </w:r>
      <w:r>
        <w:rPr>
          <w:rFonts w:ascii="宋体" w:hAnsi="宋体"/>
          <w:szCs w:val="21"/>
          <w:highlight w:val="none"/>
        </w:rPr>
        <w:t>日，每天9时30分至11时30分，13时30分至16时30分（国家法定节假日可电汇或网银）。</w:t>
      </w:r>
    </w:p>
    <w:p w14:paraId="2CBB1B53">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地点：</w:t>
      </w:r>
      <w:r>
        <w:rPr>
          <w:rFonts w:hint="eastAsia" w:ascii="宋体" w:hAnsi="宋体"/>
          <w:szCs w:val="21"/>
          <w:highlight w:val="none"/>
        </w:rPr>
        <w:t>北京市西城区广安门外大街甲275号6层605会议室</w:t>
      </w:r>
      <w:r>
        <w:rPr>
          <w:rFonts w:ascii="宋体" w:hAnsi="宋体"/>
          <w:szCs w:val="21"/>
          <w:highlight w:val="none"/>
        </w:rPr>
        <w:t>。</w:t>
      </w:r>
    </w:p>
    <w:p w14:paraId="499B6C6A">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遴选文件售价：</w:t>
      </w:r>
    </w:p>
    <w:p w14:paraId="75E201CB">
      <w:pPr>
        <w:spacing w:line="360" w:lineRule="auto"/>
        <w:ind w:right="-197" w:rightChars="-94" w:firstLine="426"/>
        <w:rPr>
          <w:rFonts w:ascii="宋体" w:hAnsi="宋体"/>
          <w:szCs w:val="21"/>
          <w:highlight w:val="none"/>
        </w:rPr>
      </w:pPr>
      <w:r>
        <w:rPr>
          <w:rFonts w:hint="eastAsia" w:ascii="宋体" w:hAnsi="宋体"/>
          <w:szCs w:val="21"/>
          <w:highlight w:val="none"/>
        </w:rPr>
        <w:t>人民币5</w:t>
      </w:r>
      <w:r>
        <w:rPr>
          <w:rFonts w:ascii="宋体" w:hAnsi="宋体"/>
          <w:szCs w:val="21"/>
          <w:highlight w:val="none"/>
        </w:rPr>
        <w:t>00</w:t>
      </w:r>
      <w:r>
        <w:rPr>
          <w:rFonts w:hint="eastAsia" w:ascii="宋体" w:hAnsi="宋体"/>
          <w:szCs w:val="21"/>
          <w:highlight w:val="none"/>
        </w:rPr>
        <w:t>元</w:t>
      </w:r>
      <w:r>
        <w:rPr>
          <w:rFonts w:ascii="宋体" w:hAnsi="宋体"/>
          <w:szCs w:val="21"/>
          <w:highlight w:val="none"/>
        </w:rPr>
        <w:t>，售后不退。</w:t>
      </w:r>
    </w:p>
    <w:p w14:paraId="433F54F7">
      <w:pPr>
        <w:spacing w:line="360" w:lineRule="auto"/>
        <w:ind w:firstLine="420" w:firstLineChars="200"/>
        <w:rPr>
          <w:rFonts w:ascii="宋体" w:hAnsi="宋体"/>
          <w:szCs w:val="21"/>
          <w:highlight w:val="none"/>
        </w:rPr>
      </w:pPr>
      <w:r>
        <w:rPr>
          <w:rFonts w:hint="eastAsia" w:ascii="宋体" w:hAnsi="宋体"/>
          <w:szCs w:val="21"/>
          <w:highlight w:val="none"/>
        </w:rPr>
        <w:t>获取方式：现场购买或电汇购买。</w:t>
      </w:r>
    </w:p>
    <w:p w14:paraId="1A05F5CB">
      <w:pPr>
        <w:spacing w:line="360" w:lineRule="auto"/>
        <w:ind w:firstLine="424" w:firstLineChars="202"/>
        <w:rPr>
          <w:kern w:val="0"/>
          <w:sz w:val="24"/>
          <w:szCs w:val="24"/>
          <w:highlight w:val="none"/>
        </w:rPr>
      </w:pPr>
      <w:r>
        <w:rPr>
          <w:rFonts w:hint="eastAsia" w:ascii="宋体" w:hAnsi="宋体"/>
          <w:szCs w:val="21"/>
          <w:highlight w:val="none"/>
        </w:rPr>
        <w:t>供应商如电汇购买标书，请将电汇底单及以下表格发邮件至</w:t>
      </w:r>
      <w:r>
        <w:rPr>
          <w:rFonts w:hint="eastAsia"/>
          <w:szCs w:val="21"/>
          <w:highlight w:val="none"/>
        </w:rPr>
        <w:t>wangsiyu@biecc.com.cn</w:t>
      </w:r>
      <w:r>
        <w:rPr>
          <w:rFonts w:hint="eastAsia" w:ascii="宋体" w:hAnsi="宋体"/>
          <w:szCs w:val="21"/>
          <w:highlight w:val="none"/>
        </w:rPr>
        <w:t>，邮件主题请统一填写：购买标书信息+项目编号。发完邮件后请打遴选公告中的电话确认。若电汇、网银或邮购，标书款必须于2024年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23</w:t>
      </w:r>
      <w:r>
        <w:rPr>
          <w:rFonts w:hint="eastAsia" w:ascii="宋体" w:hAnsi="宋体"/>
          <w:szCs w:val="21"/>
          <w:highlight w:val="none"/>
        </w:rPr>
        <w:t>日16:30前到账。付款请务必备注“项目编号+用途”，例：BIECC-24CG104</w:t>
      </w:r>
      <w:r>
        <w:rPr>
          <w:rFonts w:hint="eastAsia" w:ascii="宋体" w:hAnsi="宋体"/>
          <w:szCs w:val="21"/>
          <w:highlight w:val="none"/>
          <w:lang w:val="en-US" w:eastAsia="zh-CN"/>
        </w:rPr>
        <w:t>16</w:t>
      </w:r>
      <w:bookmarkStart w:id="247" w:name="_GoBack"/>
      <w:bookmarkEnd w:id="247"/>
      <w:r>
        <w:rPr>
          <w:rFonts w:hint="eastAsia" w:ascii="宋体" w:hAnsi="宋体"/>
          <w:szCs w:val="21"/>
          <w:highlight w:val="none"/>
        </w:rPr>
        <w:t>标书款。</w:t>
      </w:r>
    </w:p>
    <w:p w14:paraId="15F5A796">
      <w:pPr>
        <w:spacing w:line="360" w:lineRule="auto"/>
        <w:ind w:firstLine="420" w:firstLineChars="200"/>
        <w:rPr>
          <w:rFonts w:hint="eastAsia" w:ascii="宋体" w:hAnsi="宋体"/>
          <w:szCs w:val="21"/>
        </w:rPr>
      </w:pPr>
      <w:r>
        <w:rPr>
          <w:rFonts w:hint="eastAsia" w:ascii="宋体" w:hAnsi="宋体"/>
          <w:szCs w:val="21"/>
        </w:rPr>
        <w:t>若需邮寄纸质版遴选文件，须加付邮费100元人民币。电子版遴选文件免费下载方式：登陆www.biecc.com.cn，进入主页后点击“公司动态——招标代理——标书下载”（免费下载）。</w:t>
      </w:r>
    </w:p>
    <w:p w14:paraId="3EE8069E">
      <w:pPr>
        <w:spacing w:line="360" w:lineRule="auto"/>
        <w:ind w:firstLine="420" w:firstLineChars="200"/>
        <w:rPr>
          <w:rFonts w:hint="eastAsia" w:ascii="宋体" w:hAnsi="宋体"/>
          <w:szCs w:val="21"/>
        </w:rPr>
      </w:pPr>
    </w:p>
    <w:tbl>
      <w:tblPr>
        <w:tblStyle w:val="2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499B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02F0954">
            <w:pPr>
              <w:spacing w:line="360" w:lineRule="auto"/>
              <w:rPr>
                <w:rFonts w:ascii="宋体" w:hAnsi="宋体"/>
                <w:szCs w:val="21"/>
              </w:rPr>
            </w:pPr>
            <w:r>
              <w:rPr>
                <w:rFonts w:hint="eastAsia" w:ascii="宋体" w:hAnsi="宋体"/>
                <w:szCs w:val="21"/>
              </w:rPr>
              <w:t>项目编号</w:t>
            </w:r>
          </w:p>
        </w:tc>
        <w:tc>
          <w:tcPr>
            <w:tcW w:w="5103" w:type="dxa"/>
            <w:vAlign w:val="center"/>
          </w:tcPr>
          <w:p w14:paraId="0EB61EAF">
            <w:pPr>
              <w:spacing w:line="360" w:lineRule="auto"/>
              <w:rPr>
                <w:rFonts w:ascii="宋体" w:hAnsi="宋体"/>
                <w:szCs w:val="21"/>
              </w:rPr>
            </w:pPr>
          </w:p>
        </w:tc>
      </w:tr>
      <w:tr w14:paraId="1C93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AAC52DD">
            <w:pPr>
              <w:spacing w:line="360" w:lineRule="auto"/>
              <w:rPr>
                <w:rFonts w:ascii="宋体" w:hAnsi="宋体"/>
                <w:szCs w:val="21"/>
              </w:rPr>
            </w:pPr>
            <w:r>
              <w:rPr>
                <w:rFonts w:hint="eastAsia" w:ascii="宋体" w:hAnsi="宋体"/>
                <w:szCs w:val="21"/>
              </w:rPr>
              <w:t>包号（有就写）</w:t>
            </w:r>
          </w:p>
        </w:tc>
        <w:tc>
          <w:tcPr>
            <w:tcW w:w="5103" w:type="dxa"/>
            <w:vAlign w:val="center"/>
          </w:tcPr>
          <w:p w14:paraId="60A0F7C8">
            <w:pPr>
              <w:spacing w:line="360" w:lineRule="auto"/>
              <w:rPr>
                <w:rFonts w:ascii="宋体" w:hAnsi="宋体"/>
                <w:szCs w:val="21"/>
              </w:rPr>
            </w:pPr>
          </w:p>
        </w:tc>
      </w:tr>
      <w:tr w14:paraId="4E72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8C44A5B">
            <w:pPr>
              <w:spacing w:line="360" w:lineRule="auto"/>
              <w:rPr>
                <w:rFonts w:ascii="宋体" w:hAnsi="宋体"/>
                <w:szCs w:val="21"/>
              </w:rPr>
            </w:pPr>
            <w:r>
              <w:rPr>
                <w:rFonts w:hint="eastAsia" w:ascii="宋体" w:hAnsi="宋体"/>
                <w:szCs w:val="21"/>
              </w:rPr>
              <w:t>公司名称</w:t>
            </w:r>
          </w:p>
        </w:tc>
        <w:tc>
          <w:tcPr>
            <w:tcW w:w="5103" w:type="dxa"/>
            <w:vAlign w:val="center"/>
          </w:tcPr>
          <w:p w14:paraId="31A97C3F">
            <w:pPr>
              <w:spacing w:line="360" w:lineRule="auto"/>
              <w:rPr>
                <w:rFonts w:ascii="宋体" w:hAnsi="宋体"/>
                <w:szCs w:val="21"/>
              </w:rPr>
            </w:pPr>
          </w:p>
        </w:tc>
      </w:tr>
      <w:tr w14:paraId="0E93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AE34693">
            <w:pPr>
              <w:spacing w:line="360" w:lineRule="auto"/>
              <w:rPr>
                <w:rFonts w:ascii="宋体" w:hAnsi="宋体"/>
                <w:szCs w:val="21"/>
              </w:rPr>
            </w:pPr>
            <w:r>
              <w:rPr>
                <w:rFonts w:hint="eastAsia" w:ascii="宋体" w:hAnsi="宋体"/>
                <w:szCs w:val="21"/>
              </w:rPr>
              <w:t>纳税人识别号</w:t>
            </w:r>
          </w:p>
        </w:tc>
        <w:tc>
          <w:tcPr>
            <w:tcW w:w="5103" w:type="dxa"/>
            <w:vAlign w:val="center"/>
          </w:tcPr>
          <w:p w14:paraId="467D995E">
            <w:pPr>
              <w:spacing w:line="360" w:lineRule="auto"/>
              <w:rPr>
                <w:rFonts w:ascii="宋体" w:hAnsi="宋体"/>
                <w:szCs w:val="21"/>
              </w:rPr>
            </w:pPr>
          </w:p>
        </w:tc>
      </w:tr>
      <w:tr w14:paraId="59A5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4BB4F1A">
            <w:pPr>
              <w:spacing w:line="360" w:lineRule="auto"/>
              <w:rPr>
                <w:rFonts w:ascii="宋体" w:hAnsi="宋体"/>
                <w:szCs w:val="21"/>
              </w:rPr>
            </w:pPr>
            <w:r>
              <w:rPr>
                <w:rFonts w:hint="eastAsia" w:ascii="宋体" w:hAnsi="宋体"/>
                <w:szCs w:val="21"/>
              </w:rPr>
              <w:t>公司地址</w:t>
            </w:r>
          </w:p>
        </w:tc>
        <w:tc>
          <w:tcPr>
            <w:tcW w:w="5103" w:type="dxa"/>
            <w:vAlign w:val="center"/>
          </w:tcPr>
          <w:p w14:paraId="37A0AB0E">
            <w:pPr>
              <w:spacing w:line="360" w:lineRule="auto"/>
              <w:rPr>
                <w:rFonts w:ascii="宋体" w:hAnsi="宋体"/>
                <w:szCs w:val="21"/>
              </w:rPr>
            </w:pPr>
          </w:p>
        </w:tc>
      </w:tr>
      <w:tr w14:paraId="008B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6C5A50C">
            <w:pPr>
              <w:spacing w:line="360" w:lineRule="auto"/>
              <w:rPr>
                <w:rFonts w:ascii="宋体" w:hAnsi="宋体"/>
                <w:szCs w:val="21"/>
              </w:rPr>
            </w:pPr>
            <w:r>
              <w:rPr>
                <w:rFonts w:hint="eastAsia" w:ascii="宋体" w:hAnsi="宋体"/>
                <w:szCs w:val="21"/>
              </w:rPr>
              <w:t>联系人</w:t>
            </w:r>
          </w:p>
        </w:tc>
        <w:tc>
          <w:tcPr>
            <w:tcW w:w="5103" w:type="dxa"/>
            <w:vAlign w:val="center"/>
          </w:tcPr>
          <w:p w14:paraId="693C34C1">
            <w:pPr>
              <w:spacing w:line="360" w:lineRule="auto"/>
              <w:rPr>
                <w:rFonts w:ascii="宋体" w:hAnsi="宋体"/>
                <w:szCs w:val="21"/>
              </w:rPr>
            </w:pPr>
          </w:p>
        </w:tc>
      </w:tr>
      <w:tr w14:paraId="7653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2B6A6ED">
            <w:pPr>
              <w:spacing w:line="360" w:lineRule="auto"/>
              <w:rPr>
                <w:rFonts w:ascii="宋体" w:hAnsi="宋体"/>
                <w:szCs w:val="21"/>
              </w:rPr>
            </w:pPr>
            <w:r>
              <w:rPr>
                <w:rFonts w:hint="eastAsia" w:ascii="宋体" w:hAnsi="宋体"/>
                <w:szCs w:val="21"/>
              </w:rPr>
              <w:t>联系电话</w:t>
            </w:r>
          </w:p>
        </w:tc>
        <w:tc>
          <w:tcPr>
            <w:tcW w:w="5103" w:type="dxa"/>
            <w:vAlign w:val="center"/>
          </w:tcPr>
          <w:p w14:paraId="2A8F60CD">
            <w:pPr>
              <w:spacing w:line="360" w:lineRule="auto"/>
              <w:rPr>
                <w:rFonts w:ascii="宋体" w:hAnsi="宋体"/>
                <w:szCs w:val="21"/>
              </w:rPr>
            </w:pPr>
          </w:p>
        </w:tc>
      </w:tr>
    </w:tbl>
    <w:p w14:paraId="0DFBD393">
      <w:pPr>
        <w:numPr>
          <w:ilvl w:val="0"/>
          <w:numId w:val="2"/>
        </w:numPr>
        <w:spacing w:line="360" w:lineRule="auto"/>
        <w:rPr>
          <w:rFonts w:ascii="宋体" w:hAnsi="宋体"/>
          <w:b/>
          <w:szCs w:val="21"/>
          <w:highlight w:val="none"/>
        </w:rPr>
      </w:pPr>
      <w:r>
        <w:rPr>
          <w:rFonts w:hint="eastAsia" w:ascii="宋体" w:hAnsi="宋体"/>
          <w:b/>
          <w:szCs w:val="21"/>
          <w:highlight w:val="none"/>
        </w:rPr>
        <w:t>响应文件递交说明：</w:t>
      </w:r>
    </w:p>
    <w:p w14:paraId="24140D6B">
      <w:pPr>
        <w:numPr>
          <w:ilvl w:val="0"/>
          <w:numId w:val="4"/>
        </w:numPr>
        <w:spacing w:line="360" w:lineRule="auto"/>
        <w:rPr>
          <w:rFonts w:ascii="宋体" w:hAnsi="宋体"/>
          <w:szCs w:val="21"/>
          <w:highlight w:val="none"/>
        </w:rPr>
      </w:pPr>
      <w:r>
        <w:rPr>
          <w:rFonts w:hint="eastAsia" w:ascii="宋体" w:hAnsi="宋体"/>
          <w:color w:val="000000"/>
          <w:szCs w:val="21"/>
          <w:highlight w:val="none"/>
        </w:rPr>
        <w:t>递交文件时间：</w:t>
      </w:r>
      <w:r>
        <w:rPr>
          <w:rFonts w:hint="eastAsia" w:ascii="宋体" w:hAnsi="宋体"/>
          <w:szCs w:val="21"/>
          <w:highlight w:val="none"/>
        </w:rPr>
        <w:t>20</w:t>
      </w:r>
      <w:r>
        <w:rPr>
          <w:rFonts w:ascii="宋体" w:hAnsi="宋体"/>
          <w:szCs w:val="21"/>
          <w:highlight w:val="none"/>
        </w:rPr>
        <w:t>2</w:t>
      </w:r>
      <w:r>
        <w:rPr>
          <w:rFonts w:hint="eastAsia" w:ascii="宋体" w:hAnsi="宋体"/>
          <w:szCs w:val="21"/>
          <w:highlight w:val="none"/>
        </w:rPr>
        <w:t>4年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lang w:val="en-US" w:eastAsia="zh-CN"/>
        </w:rPr>
        <w:t>15</w:t>
      </w:r>
      <w:r>
        <w:rPr>
          <w:rFonts w:hint="eastAsia" w:ascii="宋体" w:hAnsi="宋体"/>
          <w:szCs w:val="21"/>
          <w:highlight w:val="none"/>
        </w:rPr>
        <w:t>时3</w:t>
      </w:r>
      <w:r>
        <w:rPr>
          <w:rFonts w:ascii="宋体" w:hAnsi="宋体"/>
          <w:szCs w:val="21"/>
          <w:highlight w:val="none"/>
        </w:rPr>
        <w:t>0分</w:t>
      </w:r>
      <w:r>
        <w:rPr>
          <w:rFonts w:hint="eastAsia" w:ascii="宋体" w:hAnsi="宋体"/>
          <w:szCs w:val="21"/>
          <w:highlight w:val="none"/>
        </w:rPr>
        <w:t>整</w:t>
      </w:r>
      <w:r>
        <w:rPr>
          <w:rFonts w:hint="eastAsia" w:ascii="宋体" w:hAnsi="宋体"/>
          <w:color w:val="000000"/>
          <w:szCs w:val="21"/>
          <w:highlight w:val="none"/>
        </w:rPr>
        <w:t>（北京时间）。逾期收到或不符合规定的响应文件恕不接受</w:t>
      </w:r>
      <w:r>
        <w:rPr>
          <w:rFonts w:hint="eastAsia" w:ascii="宋体" w:hAnsi="宋体"/>
          <w:szCs w:val="21"/>
          <w:highlight w:val="none"/>
        </w:rPr>
        <w:t xml:space="preserve">。 </w:t>
      </w:r>
    </w:p>
    <w:p w14:paraId="7AB21097">
      <w:pPr>
        <w:numPr>
          <w:ilvl w:val="0"/>
          <w:numId w:val="4"/>
        </w:numPr>
        <w:spacing w:line="360" w:lineRule="auto"/>
        <w:rPr>
          <w:rFonts w:ascii="宋体" w:hAnsi="宋体"/>
          <w:szCs w:val="21"/>
          <w:highlight w:val="none"/>
          <w:u w:val="single"/>
        </w:rPr>
      </w:pPr>
      <w:r>
        <w:rPr>
          <w:rFonts w:hint="eastAsia" w:ascii="宋体" w:hAnsi="宋体"/>
          <w:szCs w:val="21"/>
          <w:highlight w:val="none"/>
        </w:rPr>
        <w:t>递交地点：北京市西城区广安门外大街甲275号</w:t>
      </w:r>
      <w:r>
        <w:rPr>
          <w:rFonts w:hint="eastAsia" w:ascii="宋体" w:hAnsi="宋体"/>
          <w:szCs w:val="21"/>
          <w:highlight w:val="none"/>
          <w:lang w:val="en-US" w:eastAsia="zh-CN"/>
        </w:rPr>
        <w:t>5</w:t>
      </w:r>
      <w:r>
        <w:rPr>
          <w:rFonts w:hint="eastAsia" w:ascii="宋体" w:hAnsi="宋体"/>
          <w:szCs w:val="21"/>
          <w:highlight w:val="none"/>
        </w:rPr>
        <w:t>层</w:t>
      </w:r>
      <w:r>
        <w:rPr>
          <w:rFonts w:hint="eastAsia" w:ascii="宋体" w:hAnsi="宋体"/>
          <w:szCs w:val="21"/>
          <w:highlight w:val="none"/>
          <w:lang w:val="en-US" w:eastAsia="zh-CN"/>
        </w:rPr>
        <w:t>507</w:t>
      </w:r>
      <w:r>
        <w:rPr>
          <w:rFonts w:hint="eastAsia" w:ascii="宋体" w:hAnsi="宋体"/>
          <w:szCs w:val="21"/>
          <w:highlight w:val="none"/>
        </w:rPr>
        <w:t>会议室</w:t>
      </w:r>
      <w:r>
        <w:rPr>
          <w:rFonts w:ascii="宋体" w:hAnsi="宋体"/>
          <w:szCs w:val="21"/>
          <w:highlight w:val="none"/>
        </w:rPr>
        <w:t>。</w:t>
      </w:r>
    </w:p>
    <w:p w14:paraId="51DD6618">
      <w:pPr>
        <w:numPr>
          <w:ilvl w:val="0"/>
          <w:numId w:val="2"/>
        </w:numPr>
        <w:spacing w:line="360" w:lineRule="auto"/>
        <w:rPr>
          <w:rFonts w:ascii="宋体" w:hAnsi="宋体"/>
          <w:b/>
          <w:szCs w:val="21"/>
          <w:highlight w:val="none"/>
        </w:rPr>
      </w:pPr>
      <w:r>
        <w:rPr>
          <w:rFonts w:hint="eastAsia" w:ascii="宋体" w:hAnsi="宋体"/>
          <w:b/>
          <w:szCs w:val="21"/>
          <w:highlight w:val="none"/>
        </w:rPr>
        <w:t>评审办法：</w:t>
      </w:r>
      <w:r>
        <w:rPr>
          <w:rFonts w:hint="eastAsia" w:ascii="宋体" w:hAnsi="宋体"/>
          <w:szCs w:val="21"/>
          <w:highlight w:val="none"/>
        </w:rPr>
        <w:t>综合评分法。</w:t>
      </w:r>
    </w:p>
    <w:p w14:paraId="747333DF">
      <w:pPr>
        <w:numPr>
          <w:ilvl w:val="0"/>
          <w:numId w:val="2"/>
        </w:numPr>
        <w:spacing w:line="360" w:lineRule="auto"/>
        <w:rPr>
          <w:rFonts w:ascii="宋体" w:hAnsi="宋体"/>
          <w:b/>
          <w:szCs w:val="21"/>
        </w:rPr>
      </w:pPr>
      <w:r>
        <w:rPr>
          <w:rFonts w:hint="eastAsia" w:ascii="宋体" w:hAnsi="宋体"/>
          <w:b/>
          <w:szCs w:val="21"/>
        </w:rPr>
        <w:t>其他：</w:t>
      </w:r>
      <w:r>
        <w:rPr>
          <w:rFonts w:hint="eastAsia" w:ascii="宋体" w:hAnsi="宋体"/>
          <w:bCs/>
          <w:szCs w:val="21"/>
        </w:rPr>
        <w:t>1、</w:t>
      </w:r>
      <w:r>
        <w:rPr>
          <w:rFonts w:hint="eastAsia" w:ascii="宋体" w:hAnsi="宋体"/>
          <w:szCs w:val="21"/>
        </w:rPr>
        <w:t>响应文件请于递交当日（响应文件递交截止时间之前）递交至规定地点，逾期恕不接受。</w:t>
      </w:r>
    </w:p>
    <w:p w14:paraId="418B4BD6">
      <w:pPr>
        <w:spacing w:line="360" w:lineRule="auto"/>
        <w:ind w:left="870"/>
        <w:rPr>
          <w:rFonts w:ascii="宋体" w:hAnsi="宋体"/>
          <w:bCs/>
          <w:szCs w:val="21"/>
        </w:rPr>
      </w:pPr>
      <w:r>
        <w:rPr>
          <w:rFonts w:hint="eastAsia" w:ascii="宋体" w:hAnsi="宋体"/>
          <w:bCs/>
          <w:szCs w:val="21"/>
        </w:rPr>
        <w:t>2、收款单位：北京国际工程咨询有限公司</w:t>
      </w:r>
    </w:p>
    <w:p w14:paraId="7A94EEEF">
      <w:pPr>
        <w:spacing w:line="360" w:lineRule="auto"/>
        <w:ind w:left="870"/>
        <w:rPr>
          <w:rFonts w:ascii="宋体" w:hAnsi="宋体"/>
          <w:bCs/>
          <w:szCs w:val="21"/>
        </w:rPr>
      </w:pPr>
      <w:r>
        <w:rPr>
          <w:rFonts w:hint="eastAsia" w:ascii="宋体" w:hAnsi="宋体"/>
          <w:bCs/>
          <w:szCs w:val="21"/>
        </w:rPr>
        <w:t>开户行：交通银行北京右安门支行</w:t>
      </w:r>
    </w:p>
    <w:p w14:paraId="3A6DB907">
      <w:pPr>
        <w:spacing w:line="360" w:lineRule="auto"/>
        <w:ind w:left="870"/>
        <w:rPr>
          <w:rFonts w:ascii="宋体" w:hAnsi="宋体"/>
          <w:bCs/>
          <w:szCs w:val="21"/>
        </w:rPr>
      </w:pPr>
      <w:r>
        <w:rPr>
          <w:rFonts w:hint="eastAsia" w:ascii="宋体" w:hAnsi="宋体"/>
          <w:bCs/>
          <w:szCs w:val="21"/>
        </w:rPr>
        <w:t>账号：81100602610130021000001</w:t>
      </w:r>
    </w:p>
    <w:p w14:paraId="7984E6AC">
      <w:pPr>
        <w:numPr>
          <w:ilvl w:val="0"/>
          <w:numId w:val="2"/>
        </w:numPr>
        <w:spacing w:line="360" w:lineRule="auto"/>
        <w:rPr>
          <w:rFonts w:ascii="宋体" w:hAnsi="宋体"/>
          <w:b/>
          <w:szCs w:val="21"/>
          <w:highlight w:val="none"/>
        </w:rPr>
      </w:pPr>
      <w:r>
        <w:rPr>
          <w:rFonts w:ascii="宋体" w:hAnsi="宋体"/>
          <w:b/>
          <w:szCs w:val="21"/>
          <w:highlight w:val="none"/>
        </w:rPr>
        <w:t>采购人：</w:t>
      </w:r>
      <w:r>
        <w:rPr>
          <w:rFonts w:hint="eastAsia" w:ascii="宋体" w:hAnsi="宋体"/>
          <w:b/>
          <w:szCs w:val="21"/>
          <w:highlight w:val="none"/>
        </w:rPr>
        <w:t>北京市文化和旅游局综合事务中心</w:t>
      </w:r>
    </w:p>
    <w:p w14:paraId="4FEED970">
      <w:pPr>
        <w:spacing w:line="360" w:lineRule="auto"/>
        <w:ind w:right="-57" w:rightChars="-27" w:firstLine="470" w:firstLineChars="224"/>
        <w:rPr>
          <w:rFonts w:ascii="宋体" w:hAnsi="宋体"/>
          <w:szCs w:val="21"/>
          <w:highlight w:val="none"/>
        </w:rPr>
      </w:pPr>
      <w:r>
        <w:rPr>
          <w:rFonts w:ascii="宋体" w:hAnsi="宋体"/>
          <w:szCs w:val="21"/>
          <w:highlight w:val="none"/>
        </w:rPr>
        <w:t>地址：</w:t>
      </w:r>
      <w:r>
        <w:rPr>
          <w:rFonts w:hint="eastAsia" w:ascii="宋体" w:hAnsi="宋体"/>
          <w:szCs w:val="21"/>
          <w:highlight w:val="none"/>
        </w:rPr>
        <w:t>北京市通州区留庄路1号院1号楼</w:t>
      </w:r>
    </w:p>
    <w:p w14:paraId="4EAA0281">
      <w:pPr>
        <w:spacing w:line="360" w:lineRule="auto"/>
        <w:ind w:right="-57" w:rightChars="-27" w:firstLine="470" w:firstLineChars="224"/>
        <w:rPr>
          <w:rFonts w:hint="default" w:ascii="宋体" w:hAnsi="宋体" w:eastAsia="宋体"/>
          <w:szCs w:val="21"/>
          <w:highlight w:val="none"/>
          <w:lang w:val="en-US" w:eastAsia="zh-CN"/>
        </w:rPr>
      </w:pPr>
      <w:r>
        <w:rPr>
          <w:rFonts w:ascii="宋体" w:hAnsi="宋体"/>
          <w:szCs w:val="21"/>
          <w:highlight w:val="none"/>
        </w:rPr>
        <w:t>联系人：</w:t>
      </w:r>
      <w:r>
        <w:rPr>
          <w:rFonts w:hint="eastAsia" w:ascii="宋体" w:hAnsi="宋体"/>
          <w:szCs w:val="21"/>
          <w:highlight w:val="none"/>
          <w:lang w:val="en-US" w:eastAsia="zh-CN"/>
        </w:rPr>
        <w:t>芮老师</w:t>
      </w:r>
    </w:p>
    <w:p w14:paraId="25124B13">
      <w:pPr>
        <w:spacing w:line="360" w:lineRule="auto"/>
        <w:ind w:right="-57" w:rightChars="-27" w:firstLine="470" w:firstLineChars="224"/>
        <w:rPr>
          <w:rFonts w:hint="eastAsia" w:ascii="宋体" w:hAnsi="宋体" w:eastAsia="宋体"/>
          <w:szCs w:val="21"/>
          <w:highlight w:val="none"/>
          <w:lang w:eastAsia="zh-CN"/>
        </w:rPr>
      </w:pPr>
      <w:r>
        <w:rPr>
          <w:rFonts w:ascii="宋体" w:hAnsi="宋体"/>
          <w:szCs w:val="21"/>
          <w:highlight w:val="none"/>
        </w:rPr>
        <w:t>联系电话：</w:t>
      </w:r>
      <w:r>
        <w:rPr>
          <w:rFonts w:hint="eastAsia" w:ascii="宋体" w:hAnsi="宋体"/>
          <w:szCs w:val="21"/>
          <w:highlight w:val="none"/>
        </w:rPr>
        <w:t>010-5552587</w:t>
      </w:r>
      <w:r>
        <w:rPr>
          <w:rFonts w:hint="eastAsia" w:ascii="宋体" w:hAnsi="宋体"/>
          <w:szCs w:val="21"/>
          <w:highlight w:val="none"/>
          <w:lang w:val="en-US" w:eastAsia="zh-CN"/>
        </w:rPr>
        <w:t>0</w:t>
      </w:r>
    </w:p>
    <w:p w14:paraId="6A36E67F">
      <w:pPr>
        <w:numPr>
          <w:ilvl w:val="0"/>
          <w:numId w:val="2"/>
        </w:numPr>
        <w:spacing w:line="360" w:lineRule="auto"/>
        <w:rPr>
          <w:rFonts w:ascii="宋体" w:hAnsi="宋体"/>
          <w:b/>
          <w:szCs w:val="21"/>
          <w:highlight w:val="none"/>
        </w:rPr>
      </w:pPr>
      <w:r>
        <w:rPr>
          <w:rFonts w:ascii="宋体" w:hAnsi="宋体"/>
          <w:b/>
          <w:szCs w:val="21"/>
          <w:highlight w:val="none"/>
        </w:rPr>
        <w:t>招标代理机构：北京国际工程咨询有限公司</w:t>
      </w:r>
    </w:p>
    <w:p w14:paraId="2A6D2247">
      <w:pPr>
        <w:spacing w:line="360" w:lineRule="auto"/>
        <w:ind w:left="420" w:leftChars="200"/>
        <w:rPr>
          <w:rFonts w:ascii="宋体" w:hAnsi="宋体"/>
          <w:szCs w:val="21"/>
        </w:rPr>
      </w:pPr>
      <w:r>
        <w:rPr>
          <w:rFonts w:ascii="宋体" w:hAnsi="宋体"/>
          <w:szCs w:val="21"/>
          <w:highlight w:val="none"/>
        </w:rPr>
        <w:t>地址：</w:t>
      </w:r>
      <w:r>
        <w:rPr>
          <w:rFonts w:hint="eastAsia" w:ascii="宋体" w:hAnsi="宋体"/>
          <w:szCs w:val="21"/>
          <w:highlight w:val="none"/>
        </w:rPr>
        <w:t>北京市西城区广安门</w:t>
      </w:r>
      <w:r>
        <w:rPr>
          <w:rFonts w:hint="eastAsia" w:ascii="宋体" w:hAnsi="宋体"/>
          <w:szCs w:val="21"/>
        </w:rPr>
        <w:t>外大街甲275号</w:t>
      </w:r>
    </w:p>
    <w:p w14:paraId="2462E99B">
      <w:pPr>
        <w:spacing w:line="360" w:lineRule="auto"/>
        <w:ind w:left="420" w:leftChars="200"/>
        <w:rPr>
          <w:szCs w:val="21"/>
        </w:rPr>
      </w:pPr>
      <w:r>
        <w:rPr>
          <w:szCs w:val="21"/>
        </w:rPr>
        <w:t>项目联系人：</w:t>
      </w:r>
      <w:r>
        <w:rPr>
          <w:rFonts w:hint="eastAsia"/>
          <w:szCs w:val="21"/>
        </w:rPr>
        <w:t>王思宇、鲍杜佳、崔云龙、黄春艳、周圆圆</w:t>
      </w:r>
    </w:p>
    <w:p w14:paraId="0807633E">
      <w:pPr>
        <w:spacing w:line="360" w:lineRule="auto"/>
        <w:ind w:left="420" w:leftChars="200"/>
        <w:rPr>
          <w:szCs w:val="21"/>
        </w:rPr>
      </w:pPr>
      <w:r>
        <w:rPr>
          <w:szCs w:val="21"/>
        </w:rPr>
        <w:t>联系电话：010-63256361转617</w:t>
      </w:r>
      <w:r>
        <w:rPr>
          <w:rFonts w:hint="eastAsia"/>
          <w:szCs w:val="21"/>
        </w:rPr>
        <w:t>7</w:t>
      </w:r>
    </w:p>
    <w:p w14:paraId="69E127FF">
      <w:pPr>
        <w:spacing w:line="360" w:lineRule="auto"/>
        <w:ind w:right="-57" w:rightChars="-27" w:firstLine="470" w:firstLineChars="224"/>
        <w:rPr>
          <w:rFonts w:ascii="宋体" w:hAnsi="宋体"/>
          <w:szCs w:val="21"/>
        </w:rPr>
      </w:pPr>
    </w:p>
    <w:p w14:paraId="447450D1">
      <w:pPr>
        <w:spacing w:line="360" w:lineRule="auto"/>
        <w:ind w:firstLine="420" w:firstLineChars="200"/>
        <w:rPr>
          <w:rFonts w:ascii="宋体" w:hAnsi="宋体"/>
          <w:szCs w:val="21"/>
        </w:rPr>
      </w:pPr>
      <w:r>
        <w:rPr>
          <w:rFonts w:ascii="宋体" w:hAnsi="宋体"/>
          <w:szCs w:val="21"/>
        </w:rPr>
        <w:br w:type="page"/>
      </w:r>
    </w:p>
    <w:p w14:paraId="6788C2FC">
      <w:pPr>
        <w:spacing w:line="360" w:lineRule="auto"/>
        <w:ind w:firstLine="420" w:firstLineChars="200"/>
        <w:rPr>
          <w:rFonts w:ascii="宋体" w:hAnsi="宋体"/>
          <w:szCs w:val="21"/>
        </w:rPr>
      </w:pPr>
    </w:p>
    <w:p w14:paraId="195E3F29">
      <w:pPr>
        <w:spacing w:line="360" w:lineRule="auto"/>
        <w:ind w:firstLine="420" w:firstLineChars="200"/>
        <w:rPr>
          <w:rFonts w:ascii="宋体" w:hAnsi="宋体"/>
          <w:szCs w:val="21"/>
        </w:rPr>
      </w:pPr>
    </w:p>
    <w:p w14:paraId="67973612">
      <w:pPr>
        <w:spacing w:line="360" w:lineRule="auto"/>
        <w:ind w:firstLine="420" w:firstLineChars="200"/>
        <w:rPr>
          <w:rFonts w:ascii="宋体" w:hAnsi="宋体"/>
          <w:szCs w:val="21"/>
        </w:rPr>
      </w:pPr>
    </w:p>
    <w:p w14:paraId="47A8C113">
      <w:pPr>
        <w:spacing w:line="360" w:lineRule="auto"/>
        <w:ind w:firstLine="420" w:firstLineChars="200"/>
        <w:rPr>
          <w:rFonts w:ascii="宋体" w:hAnsi="宋体"/>
          <w:szCs w:val="21"/>
        </w:rPr>
      </w:pPr>
    </w:p>
    <w:p w14:paraId="6D8C7EC9">
      <w:pPr>
        <w:spacing w:line="360" w:lineRule="auto"/>
        <w:ind w:firstLine="420" w:firstLineChars="200"/>
        <w:rPr>
          <w:rFonts w:ascii="宋体" w:hAnsi="宋体"/>
          <w:szCs w:val="21"/>
        </w:rPr>
      </w:pPr>
    </w:p>
    <w:p w14:paraId="24F9EB00">
      <w:pPr>
        <w:spacing w:line="360" w:lineRule="auto"/>
        <w:ind w:firstLine="420" w:firstLineChars="200"/>
        <w:rPr>
          <w:rFonts w:ascii="宋体" w:hAnsi="宋体"/>
          <w:szCs w:val="21"/>
        </w:rPr>
      </w:pPr>
    </w:p>
    <w:p w14:paraId="303A58D3">
      <w:pPr>
        <w:spacing w:line="360" w:lineRule="auto"/>
        <w:ind w:firstLine="420" w:firstLineChars="200"/>
        <w:rPr>
          <w:rFonts w:ascii="宋体" w:hAnsi="宋体"/>
          <w:szCs w:val="21"/>
        </w:rPr>
      </w:pPr>
    </w:p>
    <w:p w14:paraId="03B37ABD">
      <w:pPr>
        <w:spacing w:line="360" w:lineRule="auto"/>
        <w:ind w:firstLine="420" w:firstLineChars="200"/>
        <w:rPr>
          <w:rFonts w:ascii="宋体" w:hAnsi="宋体"/>
          <w:szCs w:val="21"/>
        </w:rPr>
      </w:pPr>
    </w:p>
    <w:p w14:paraId="24712BF1">
      <w:pPr>
        <w:spacing w:line="360" w:lineRule="auto"/>
        <w:ind w:firstLine="420" w:firstLineChars="200"/>
        <w:rPr>
          <w:rFonts w:ascii="宋体" w:hAnsi="宋体"/>
          <w:szCs w:val="21"/>
        </w:rPr>
      </w:pPr>
    </w:p>
    <w:p w14:paraId="041297D0">
      <w:pPr>
        <w:pStyle w:val="39"/>
        <w:numPr>
          <w:ilvl w:val="0"/>
          <w:numId w:val="1"/>
        </w:numPr>
        <w:spacing w:line="360" w:lineRule="auto"/>
        <w:ind w:left="1276" w:hanging="1276" w:firstLineChars="0"/>
        <w:jc w:val="center"/>
        <w:outlineLvl w:val="0"/>
        <w:rPr>
          <w:rFonts w:ascii="宋体" w:hAnsi="宋体"/>
          <w:b/>
          <w:sz w:val="44"/>
          <w:szCs w:val="44"/>
        </w:rPr>
      </w:pPr>
      <w:bookmarkStart w:id="11" w:name="_Toc3692"/>
      <w:bookmarkStart w:id="12" w:name="_Toc11253"/>
      <w:r>
        <w:rPr>
          <w:rFonts w:hint="eastAsia" w:ascii="宋体" w:hAnsi="宋体"/>
          <w:b/>
          <w:sz w:val="44"/>
          <w:szCs w:val="44"/>
        </w:rPr>
        <w:t>供应商须知</w:t>
      </w:r>
      <w:bookmarkEnd w:id="2"/>
      <w:bookmarkEnd w:id="3"/>
      <w:bookmarkEnd w:id="11"/>
      <w:bookmarkEnd w:id="12"/>
    </w:p>
    <w:p w14:paraId="75B03E19">
      <w:pPr>
        <w:spacing w:line="360" w:lineRule="auto"/>
        <w:ind w:firstLine="420" w:firstLineChars="200"/>
        <w:rPr>
          <w:rFonts w:ascii="宋体" w:hAnsi="宋体"/>
          <w:szCs w:val="21"/>
        </w:rPr>
      </w:pPr>
    </w:p>
    <w:p w14:paraId="0E8185FE">
      <w:pPr>
        <w:spacing w:line="360" w:lineRule="auto"/>
        <w:ind w:firstLine="420" w:firstLineChars="200"/>
        <w:jc w:val="center"/>
        <w:rPr>
          <w:rFonts w:ascii="宋体" w:hAnsi="宋体"/>
          <w:b/>
          <w:szCs w:val="21"/>
        </w:rPr>
      </w:pPr>
      <w:r>
        <w:rPr>
          <w:rFonts w:ascii="宋体" w:hAnsi="宋体"/>
          <w:szCs w:val="21"/>
        </w:rPr>
        <w:br w:type="page"/>
      </w:r>
      <w:bookmarkStart w:id="13" w:name="_Toc17392448"/>
      <w:bookmarkStart w:id="14" w:name="_Toc17392984"/>
      <w:bookmarkStart w:id="15" w:name="_Toc509224148"/>
      <w:bookmarkStart w:id="16" w:name="_Toc120707445"/>
      <w:r>
        <w:rPr>
          <w:rFonts w:hint="eastAsia" w:ascii="宋体" w:hAnsi="宋体"/>
          <w:b/>
          <w:szCs w:val="21"/>
        </w:rPr>
        <w:t>供应商须知</w:t>
      </w:r>
      <w:bookmarkEnd w:id="13"/>
      <w:bookmarkEnd w:id="14"/>
      <w:bookmarkEnd w:id="15"/>
      <w:bookmarkEnd w:id="16"/>
    </w:p>
    <w:p w14:paraId="5A17C1DF">
      <w:pPr>
        <w:spacing w:line="360" w:lineRule="auto"/>
        <w:ind w:firstLine="420" w:firstLineChars="200"/>
        <w:rPr>
          <w:rFonts w:ascii="宋体" w:hAnsi="宋体"/>
          <w:szCs w:val="21"/>
        </w:rPr>
      </w:pPr>
    </w:p>
    <w:p w14:paraId="64BB8D1B">
      <w:pPr>
        <w:pStyle w:val="39"/>
        <w:numPr>
          <w:ilvl w:val="0"/>
          <w:numId w:val="5"/>
        </w:numPr>
        <w:spacing w:line="360" w:lineRule="auto"/>
        <w:ind w:left="0" w:firstLine="0" w:firstLineChars="0"/>
        <w:jc w:val="center"/>
        <w:outlineLvl w:val="0"/>
        <w:rPr>
          <w:rFonts w:ascii="宋体" w:hAnsi="宋体"/>
          <w:b/>
          <w:szCs w:val="21"/>
        </w:rPr>
      </w:pPr>
      <w:bookmarkStart w:id="17" w:name="_Toc12209"/>
      <w:bookmarkStart w:id="18" w:name="_Toc24380"/>
      <w:bookmarkStart w:id="19" w:name="_Toc23820"/>
      <w:bookmarkStart w:id="20" w:name="_Toc27036"/>
      <w:r>
        <w:rPr>
          <w:rFonts w:hint="eastAsia" w:ascii="宋体" w:hAnsi="宋体"/>
          <w:b/>
          <w:szCs w:val="21"/>
        </w:rPr>
        <w:t>说明</w:t>
      </w:r>
      <w:bookmarkEnd w:id="17"/>
      <w:bookmarkEnd w:id="18"/>
      <w:bookmarkEnd w:id="19"/>
      <w:bookmarkEnd w:id="20"/>
    </w:p>
    <w:p w14:paraId="4A8B2338">
      <w:pPr>
        <w:pStyle w:val="39"/>
        <w:numPr>
          <w:ilvl w:val="0"/>
          <w:numId w:val="6"/>
        </w:numPr>
        <w:spacing w:line="360" w:lineRule="auto"/>
        <w:ind w:firstLineChars="0"/>
        <w:rPr>
          <w:rFonts w:ascii="宋体" w:hAnsi="宋体"/>
          <w:b/>
          <w:bCs/>
          <w:szCs w:val="21"/>
        </w:rPr>
      </w:pPr>
      <w:bookmarkStart w:id="21" w:name="_Toc407613058"/>
      <w:bookmarkStart w:id="22" w:name="_Toc407612689"/>
      <w:bookmarkStart w:id="23" w:name="_Toc406595674"/>
      <w:bookmarkStart w:id="24" w:name="_Toc17392986"/>
      <w:bookmarkStart w:id="25" w:name="_Toc120707447"/>
      <w:bookmarkStart w:id="26" w:name="_Toc440288434"/>
      <w:bookmarkStart w:id="27" w:name="_Toc509224150"/>
      <w:bookmarkStart w:id="28" w:name="_Toc10641"/>
      <w:bookmarkStart w:id="29" w:name="_Toc17392450"/>
      <w:r>
        <w:rPr>
          <w:rFonts w:hint="eastAsia" w:ascii="宋体" w:hAnsi="宋体"/>
          <w:b/>
          <w:bCs/>
          <w:szCs w:val="21"/>
        </w:rPr>
        <w:t>合格的</w:t>
      </w:r>
      <w:bookmarkEnd w:id="21"/>
      <w:bookmarkEnd w:id="22"/>
      <w:bookmarkEnd w:id="23"/>
      <w:r>
        <w:rPr>
          <w:rFonts w:hint="eastAsia" w:ascii="宋体" w:hAnsi="宋体"/>
          <w:b/>
          <w:bCs/>
          <w:szCs w:val="21"/>
        </w:rPr>
        <w:t>供应商</w:t>
      </w:r>
      <w:bookmarkEnd w:id="24"/>
      <w:bookmarkEnd w:id="25"/>
      <w:bookmarkEnd w:id="26"/>
      <w:bookmarkEnd w:id="27"/>
      <w:bookmarkEnd w:id="28"/>
      <w:bookmarkEnd w:id="29"/>
    </w:p>
    <w:p w14:paraId="5A5017FF">
      <w:pPr>
        <w:pStyle w:val="39"/>
        <w:numPr>
          <w:ilvl w:val="1"/>
          <w:numId w:val="6"/>
        </w:numPr>
        <w:spacing w:line="360" w:lineRule="auto"/>
        <w:ind w:firstLineChars="0"/>
        <w:rPr>
          <w:rFonts w:hint="eastAsia" w:ascii="宋体" w:hAnsi="宋体"/>
          <w:szCs w:val="21"/>
        </w:rPr>
      </w:pPr>
      <w:bookmarkStart w:id="30" w:name="_Toc407612690"/>
      <w:bookmarkStart w:id="31" w:name="_Toc509224151"/>
      <w:bookmarkStart w:id="32" w:name="_Toc15632"/>
      <w:bookmarkStart w:id="33" w:name="_Toc120707448"/>
      <w:bookmarkStart w:id="34" w:name="_Toc440288435"/>
      <w:bookmarkStart w:id="35" w:name="_Toc407613059"/>
      <w:bookmarkStart w:id="36" w:name="_Toc17392987"/>
      <w:bookmarkStart w:id="37" w:name="_Toc17392451"/>
      <w:bookmarkStart w:id="38" w:name="_Toc406595675"/>
      <w:r>
        <w:rPr>
          <w:rFonts w:hint="eastAsia" w:ascii="宋体" w:hAnsi="宋体"/>
          <w:szCs w:val="21"/>
        </w:rPr>
        <w:t>本项目</w:t>
      </w:r>
      <w:r>
        <w:rPr>
          <w:rFonts w:hint="eastAsia" w:ascii="宋体" w:hAnsi="宋体"/>
          <w:szCs w:val="21"/>
          <w:lang w:val="en-US" w:eastAsia="zh-CN"/>
        </w:rPr>
        <w:t>供应商</w:t>
      </w:r>
      <w:r>
        <w:rPr>
          <w:rFonts w:hint="eastAsia" w:ascii="宋体" w:hAnsi="宋体"/>
          <w:szCs w:val="21"/>
        </w:rPr>
        <w:t>必须在中华人民共和国境内注册，具有独立法人资格或经总公司授权参与本项目投标的分支机构。本项目允许保险服务机构设立的分支机构参与投标，但同一保险服务机构总公司和其下属分支机构不得同时参加本项目。分支机构参与本项目投标应出具保险服务机构总公司针对本项目出具的授权书。</w:t>
      </w:r>
    </w:p>
    <w:p w14:paraId="14E5719E">
      <w:pPr>
        <w:pStyle w:val="39"/>
        <w:numPr>
          <w:ilvl w:val="1"/>
          <w:numId w:val="6"/>
        </w:numPr>
        <w:spacing w:line="360" w:lineRule="auto"/>
        <w:ind w:firstLineChars="0"/>
        <w:rPr>
          <w:rFonts w:ascii="宋体" w:hAnsi="宋体"/>
          <w:szCs w:val="21"/>
        </w:rPr>
      </w:pPr>
      <w:r>
        <w:rPr>
          <w:rFonts w:hint="eastAsia" w:ascii="宋体" w:hAnsi="宋体"/>
          <w:szCs w:val="21"/>
          <w:lang w:val="en-US" w:eastAsia="zh-CN"/>
        </w:rPr>
        <w:t>供应商必须</w:t>
      </w:r>
      <w:r>
        <w:rPr>
          <w:rFonts w:hint="eastAsia" w:ascii="宋体" w:hAnsi="宋体"/>
          <w:szCs w:val="21"/>
        </w:rPr>
        <w:t>具有银保监会及其派出机构颁发的有效的《保险许可证》</w:t>
      </w:r>
      <w:r>
        <w:rPr>
          <w:rFonts w:hint="eastAsia" w:ascii="宋体" w:hAnsi="宋体"/>
          <w:szCs w:val="21"/>
          <w:lang w:eastAsia="zh-CN"/>
        </w:rPr>
        <w:t>。</w:t>
      </w:r>
    </w:p>
    <w:bookmarkEnd w:id="30"/>
    <w:bookmarkEnd w:id="31"/>
    <w:bookmarkEnd w:id="32"/>
    <w:bookmarkEnd w:id="33"/>
    <w:bookmarkEnd w:id="34"/>
    <w:bookmarkEnd w:id="35"/>
    <w:bookmarkEnd w:id="36"/>
    <w:bookmarkEnd w:id="37"/>
    <w:bookmarkEnd w:id="38"/>
    <w:p w14:paraId="1487A192">
      <w:pPr>
        <w:pStyle w:val="39"/>
        <w:numPr>
          <w:ilvl w:val="1"/>
          <w:numId w:val="6"/>
        </w:numPr>
        <w:spacing w:line="360" w:lineRule="auto"/>
        <w:ind w:firstLineChars="0"/>
        <w:rPr>
          <w:rFonts w:ascii="宋体" w:hAnsi="宋体"/>
          <w:szCs w:val="21"/>
        </w:rPr>
      </w:pPr>
      <w:bookmarkStart w:id="39" w:name="_Toc407612691"/>
      <w:bookmarkStart w:id="40" w:name="_Toc509224152"/>
      <w:bookmarkStart w:id="41" w:name="_Toc17392452"/>
      <w:bookmarkStart w:id="42" w:name="_Toc17392988"/>
      <w:bookmarkStart w:id="43" w:name="_Toc120707449"/>
      <w:bookmarkStart w:id="44" w:name="_Toc406595676"/>
      <w:bookmarkStart w:id="45" w:name="_Toc3611"/>
      <w:bookmarkStart w:id="46" w:name="_Toc407613060"/>
      <w:bookmarkStart w:id="47" w:name="_Toc440288436"/>
      <w:r>
        <w:rPr>
          <w:rFonts w:hint="eastAsia" w:ascii="宋体" w:hAnsi="宋体"/>
          <w:szCs w:val="21"/>
        </w:rPr>
        <w:t>供应商必须遵守国家相关法律法规的规定，具有良好的信誉和诚实的商业道德。</w:t>
      </w:r>
      <w:bookmarkEnd w:id="39"/>
      <w:bookmarkEnd w:id="40"/>
      <w:bookmarkEnd w:id="41"/>
      <w:bookmarkEnd w:id="42"/>
      <w:bookmarkEnd w:id="43"/>
      <w:bookmarkEnd w:id="44"/>
      <w:bookmarkEnd w:id="45"/>
      <w:bookmarkEnd w:id="46"/>
      <w:bookmarkEnd w:id="47"/>
    </w:p>
    <w:p w14:paraId="7E4BE470">
      <w:pPr>
        <w:pStyle w:val="39"/>
        <w:numPr>
          <w:ilvl w:val="1"/>
          <w:numId w:val="6"/>
        </w:numPr>
        <w:spacing w:line="360" w:lineRule="auto"/>
        <w:ind w:firstLineChars="0"/>
        <w:rPr>
          <w:rFonts w:ascii="宋体" w:hAnsi="宋体"/>
          <w:szCs w:val="21"/>
        </w:rPr>
      </w:pPr>
      <w:bookmarkStart w:id="48" w:name="_Toc21591"/>
      <w:bookmarkStart w:id="49" w:name="_Toc17392453"/>
      <w:bookmarkStart w:id="50" w:name="_Toc120707450"/>
      <w:bookmarkStart w:id="51" w:name="_Toc17392989"/>
      <w:r>
        <w:rPr>
          <w:rFonts w:hint="eastAsia" w:ascii="宋体" w:hAnsi="宋体"/>
          <w:szCs w:val="21"/>
        </w:rPr>
        <w:t>供应商参加此遴选活动前三年内，在经营活动中没有重大违法记录。</w:t>
      </w:r>
      <w:bookmarkEnd w:id="48"/>
      <w:bookmarkEnd w:id="49"/>
      <w:bookmarkEnd w:id="50"/>
      <w:bookmarkEnd w:id="51"/>
    </w:p>
    <w:p w14:paraId="2279D23E">
      <w:pPr>
        <w:pStyle w:val="39"/>
        <w:numPr>
          <w:ilvl w:val="1"/>
          <w:numId w:val="6"/>
        </w:numPr>
        <w:spacing w:line="360" w:lineRule="auto"/>
        <w:ind w:firstLineChars="0"/>
        <w:rPr>
          <w:rFonts w:ascii="宋体" w:hAnsi="宋体"/>
          <w:szCs w:val="21"/>
        </w:rPr>
      </w:pPr>
      <w:bookmarkStart w:id="52" w:name="_Toc120707451"/>
      <w:bookmarkStart w:id="53" w:name="_Toc17392990"/>
      <w:bookmarkStart w:id="54" w:name="_Toc444"/>
      <w:bookmarkStart w:id="55" w:name="_Toc17392454"/>
      <w:r>
        <w:rPr>
          <w:rFonts w:hint="eastAsia" w:ascii="宋体" w:hAnsi="宋体"/>
          <w:szCs w:val="21"/>
        </w:rPr>
        <w:t>通过“信用中国”网站（www.creditchina.gov.cn）（查询截至时点为响应文件截止时间前</w:t>
      </w:r>
      <w:r>
        <w:rPr>
          <w:rFonts w:ascii="宋体" w:hAnsi="宋体"/>
          <w:szCs w:val="21"/>
        </w:rPr>
        <w:t>3</w:t>
      </w:r>
      <w:r>
        <w:rPr>
          <w:rFonts w:hint="eastAsia" w:ascii="宋体" w:hAnsi="宋体"/>
          <w:szCs w:val="21"/>
        </w:rPr>
        <w:t>个工作日内），对列入失信被执行人、重大税收违法案件当事人的供应商，没有资格参加本项目的遴选。</w:t>
      </w:r>
      <w:bookmarkEnd w:id="52"/>
      <w:bookmarkEnd w:id="53"/>
      <w:bookmarkEnd w:id="54"/>
      <w:bookmarkEnd w:id="55"/>
    </w:p>
    <w:p w14:paraId="14990770">
      <w:pPr>
        <w:pStyle w:val="39"/>
        <w:numPr>
          <w:ilvl w:val="1"/>
          <w:numId w:val="6"/>
        </w:numPr>
        <w:spacing w:line="360" w:lineRule="auto"/>
        <w:ind w:right="-197" w:rightChars="-94" w:firstLineChars="0"/>
        <w:outlineLvl w:val="0"/>
        <w:rPr>
          <w:rFonts w:ascii="宋体" w:hAnsi="宋体"/>
          <w:szCs w:val="21"/>
        </w:rPr>
      </w:pPr>
      <w:bookmarkStart w:id="56" w:name="_Toc16717"/>
      <w:bookmarkStart w:id="57" w:name="_Toc12976"/>
      <w:bookmarkStart w:id="58" w:name="_Toc13242"/>
      <w:bookmarkStart w:id="59" w:name="_Toc10885"/>
      <w:r>
        <w:rPr>
          <w:rFonts w:ascii="宋体" w:hAnsi="宋体"/>
          <w:szCs w:val="21"/>
        </w:rPr>
        <w:t>本项目不接受联合体投标</w:t>
      </w:r>
      <w:r>
        <w:rPr>
          <w:rFonts w:hint="eastAsia" w:ascii="宋体" w:hAnsi="宋体"/>
          <w:szCs w:val="21"/>
          <w:lang w:eastAsia="zh-CN"/>
        </w:rPr>
        <w:t>。</w:t>
      </w:r>
      <w:bookmarkEnd w:id="56"/>
      <w:bookmarkEnd w:id="57"/>
      <w:bookmarkEnd w:id="58"/>
      <w:bookmarkEnd w:id="59"/>
    </w:p>
    <w:p w14:paraId="78E37BA3">
      <w:pPr>
        <w:spacing w:line="360" w:lineRule="auto"/>
        <w:ind w:firstLine="420" w:firstLineChars="200"/>
        <w:rPr>
          <w:rFonts w:ascii="宋体" w:hAnsi="宋体"/>
          <w:szCs w:val="21"/>
        </w:rPr>
      </w:pPr>
    </w:p>
    <w:p w14:paraId="12E721EF">
      <w:pPr>
        <w:pStyle w:val="39"/>
        <w:numPr>
          <w:ilvl w:val="0"/>
          <w:numId w:val="5"/>
        </w:numPr>
        <w:spacing w:line="360" w:lineRule="auto"/>
        <w:ind w:left="0" w:firstLine="0" w:firstLineChars="0"/>
        <w:jc w:val="center"/>
        <w:outlineLvl w:val="0"/>
        <w:rPr>
          <w:rFonts w:ascii="宋体" w:hAnsi="宋体"/>
          <w:b/>
          <w:szCs w:val="21"/>
        </w:rPr>
      </w:pPr>
      <w:bookmarkStart w:id="60" w:name="_Toc5022"/>
      <w:bookmarkStart w:id="61" w:name="_Toc5864"/>
      <w:bookmarkStart w:id="62" w:name="_Toc13491"/>
      <w:bookmarkStart w:id="63" w:name="_Toc14998"/>
      <w:r>
        <w:rPr>
          <w:rFonts w:hint="eastAsia" w:ascii="宋体" w:hAnsi="宋体"/>
          <w:b/>
          <w:szCs w:val="21"/>
        </w:rPr>
        <w:t>响应文件的编写</w:t>
      </w:r>
      <w:bookmarkEnd w:id="60"/>
      <w:bookmarkEnd w:id="61"/>
      <w:bookmarkEnd w:id="62"/>
      <w:bookmarkEnd w:id="63"/>
    </w:p>
    <w:p w14:paraId="2B0DC1C4">
      <w:pPr>
        <w:pStyle w:val="39"/>
        <w:numPr>
          <w:ilvl w:val="0"/>
          <w:numId w:val="6"/>
        </w:numPr>
        <w:spacing w:line="360" w:lineRule="auto"/>
        <w:ind w:firstLineChars="0"/>
        <w:rPr>
          <w:rFonts w:ascii="宋体" w:hAnsi="宋体"/>
          <w:b/>
          <w:bCs/>
          <w:szCs w:val="21"/>
        </w:rPr>
      </w:pPr>
      <w:bookmarkStart w:id="64" w:name="_Toc17392456"/>
      <w:bookmarkStart w:id="65" w:name="_Toc120707453"/>
      <w:bookmarkStart w:id="66" w:name="_Toc509224155"/>
      <w:bookmarkStart w:id="67" w:name="_Toc406595702"/>
      <w:bookmarkStart w:id="68" w:name="_Toc440288439"/>
      <w:bookmarkStart w:id="69" w:name="_Toc407613086"/>
      <w:bookmarkStart w:id="70" w:name="_Toc407612717"/>
      <w:bookmarkStart w:id="71" w:name="_Toc17392992"/>
      <w:bookmarkStart w:id="72" w:name="_Toc30726"/>
      <w:r>
        <w:rPr>
          <w:rFonts w:hint="eastAsia" w:ascii="宋体" w:hAnsi="宋体"/>
          <w:b/>
          <w:bCs/>
          <w:szCs w:val="21"/>
        </w:rPr>
        <w:t>响应文件的组成</w:t>
      </w:r>
      <w:bookmarkEnd w:id="64"/>
      <w:bookmarkEnd w:id="65"/>
      <w:bookmarkEnd w:id="66"/>
      <w:bookmarkEnd w:id="67"/>
      <w:bookmarkEnd w:id="68"/>
      <w:bookmarkEnd w:id="69"/>
      <w:bookmarkEnd w:id="70"/>
      <w:bookmarkEnd w:id="71"/>
      <w:bookmarkEnd w:id="72"/>
    </w:p>
    <w:p w14:paraId="45A9DC10">
      <w:pPr>
        <w:pStyle w:val="39"/>
        <w:numPr>
          <w:ilvl w:val="1"/>
          <w:numId w:val="6"/>
        </w:numPr>
        <w:spacing w:line="360" w:lineRule="auto"/>
        <w:ind w:firstLineChars="0"/>
        <w:rPr>
          <w:rFonts w:ascii="宋体" w:hAnsi="宋体"/>
          <w:szCs w:val="21"/>
        </w:rPr>
      </w:pPr>
      <w:bookmarkStart w:id="73" w:name="_Toc12371"/>
      <w:bookmarkStart w:id="74" w:name="_Toc120707454"/>
      <w:bookmarkStart w:id="75" w:name="_Toc407612718"/>
      <w:bookmarkStart w:id="76" w:name="_Toc17392457"/>
      <w:bookmarkStart w:id="77" w:name="_Toc17392993"/>
      <w:bookmarkStart w:id="78" w:name="_Toc406595703"/>
      <w:bookmarkStart w:id="79" w:name="_Toc509224156"/>
      <w:bookmarkStart w:id="80" w:name="_Toc440288440"/>
      <w:bookmarkStart w:id="81" w:name="_Toc407613087"/>
      <w:r>
        <w:rPr>
          <w:rFonts w:hint="eastAsia" w:ascii="宋体" w:hAnsi="宋体"/>
          <w:szCs w:val="21"/>
        </w:rPr>
        <w:t>应在其响应文件中按遴选文件第</w:t>
      </w:r>
      <w:r>
        <w:rPr>
          <w:rFonts w:hint="eastAsia" w:ascii="宋体" w:hAnsi="宋体"/>
          <w:szCs w:val="21"/>
          <w:lang w:val="en-US" w:eastAsia="zh-CN"/>
        </w:rPr>
        <w:t>五</w:t>
      </w:r>
      <w:r>
        <w:rPr>
          <w:rFonts w:hint="eastAsia" w:ascii="宋体" w:hAnsi="宋体"/>
          <w:szCs w:val="21"/>
        </w:rPr>
        <w:t>章规定的格式，填写提供以下（但不限于）文件或资料，提供复印件的须</w:t>
      </w:r>
      <w:r>
        <w:rPr>
          <w:rFonts w:hint="eastAsia" w:ascii="宋体" w:hAnsi="宋体"/>
          <w:szCs w:val="21"/>
          <w:lang w:val="zh-CN"/>
        </w:rPr>
        <w:t>加盖单位公章：</w:t>
      </w:r>
      <w:bookmarkEnd w:id="73"/>
      <w:bookmarkEnd w:id="74"/>
      <w:bookmarkEnd w:id="75"/>
      <w:bookmarkEnd w:id="76"/>
      <w:bookmarkEnd w:id="77"/>
      <w:bookmarkEnd w:id="78"/>
      <w:bookmarkEnd w:id="79"/>
      <w:bookmarkEnd w:id="80"/>
      <w:bookmarkEnd w:id="81"/>
    </w:p>
    <w:p w14:paraId="6C422B43">
      <w:pPr>
        <w:numPr>
          <w:ilvl w:val="0"/>
          <w:numId w:val="7"/>
        </w:numPr>
        <w:spacing w:line="360" w:lineRule="auto"/>
        <w:rPr>
          <w:rFonts w:ascii="宋体" w:hAnsi="宋体"/>
          <w:szCs w:val="21"/>
        </w:rPr>
      </w:pPr>
      <w:r>
        <w:rPr>
          <w:rFonts w:ascii="宋体" w:hAnsi="宋体"/>
          <w:szCs w:val="21"/>
        </w:rPr>
        <w:t>报价表</w:t>
      </w:r>
      <w:r>
        <w:rPr>
          <w:rFonts w:hint="eastAsia" w:ascii="宋体" w:hAnsi="宋体"/>
          <w:szCs w:val="21"/>
        </w:rPr>
        <w:t>（附件1）</w:t>
      </w:r>
    </w:p>
    <w:p w14:paraId="5CE65366">
      <w:pPr>
        <w:numPr>
          <w:ilvl w:val="0"/>
          <w:numId w:val="7"/>
        </w:numPr>
        <w:spacing w:line="360" w:lineRule="auto"/>
        <w:rPr>
          <w:rFonts w:ascii="宋体" w:hAnsi="宋体"/>
          <w:szCs w:val="21"/>
        </w:rPr>
      </w:pPr>
      <w:r>
        <w:rPr>
          <w:rFonts w:ascii="宋体" w:hAnsi="宋体"/>
          <w:szCs w:val="21"/>
        </w:rPr>
        <w:t>报价明细表</w:t>
      </w:r>
      <w:r>
        <w:rPr>
          <w:rFonts w:hint="eastAsia" w:ascii="宋体" w:hAnsi="宋体"/>
          <w:szCs w:val="21"/>
        </w:rPr>
        <w:t>（附件</w:t>
      </w:r>
      <w:r>
        <w:rPr>
          <w:rFonts w:ascii="宋体" w:hAnsi="宋体"/>
          <w:szCs w:val="21"/>
        </w:rPr>
        <w:t>2</w:t>
      </w:r>
      <w:r>
        <w:rPr>
          <w:rFonts w:hint="eastAsia" w:ascii="宋体" w:hAnsi="宋体"/>
          <w:szCs w:val="21"/>
        </w:rPr>
        <w:t>）</w:t>
      </w:r>
    </w:p>
    <w:p w14:paraId="666A5AEC">
      <w:pPr>
        <w:numPr>
          <w:ilvl w:val="0"/>
          <w:numId w:val="7"/>
        </w:numPr>
        <w:spacing w:line="360" w:lineRule="auto"/>
        <w:rPr>
          <w:rFonts w:ascii="宋体" w:hAnsi="宋体"/>
          <w:szCs w:val="21"/>
        </w:rPr>
      </w:pPr>
      <w:r>
        <w:rPr>
          <w:rFonts w:hint="eastAsia" w:ascii="宋体" w:hAnsi="宋体"/>
          <w:szCs w:val="21"/>
        </w:rPr>
        <w:t>营业执照（附件</w:t>
      </w:r>
      <w:r>
        <w:rPr>
          <w:rFonts w:ascii="宋体" w:hAnsi="宋体"/>
          <w:szCs w:val="21"/>
        </w:rPr>
        <w:t>3</w:t>
      </w:r>
      <w:r>
        <w:rPr>
          <w:rFonts w:hint="eastAsia" w:ascii="宋体" w:hAnsi="宋体"/>
          <w:szCs w:val="21"/>
        </w:rPr>
        <w:t>）</w:t>
      </w:r>
    </w:p>
    <w:p w14:paraId="0E532BC4">
      <w:pPr>
        <w:numPr>
          <w:ilvl w:val="0"/>
          <w:numId w:val="7"/>
        </w:numPr>
        <w:spacing w:line="360" w:lineRule="auto"/>
        <w:rPr>
          <w:rFonts w:ascii="宋体" w:hAnsi="宋体"/>
          <w:szCs w:val="21"/>
        </w:rPr>
      </w:pPr>
      <w:r>
        <w:rPr>
          <w:rFonts w:hint="eastAsia" w:ascii="宋体" w:hAnsi="宋体"/>
          <w:szCs w:val="21"/>
        </w:rPr>
        <w:t>声明（附件</w:t>
      </w:r>
      <w:r>
        <w:rPr>
          <w:rFonts w:ascii="宋体" w:hAnsi="宋体"/>
          <w:szCs w:val="21"/>
        </w:rPr>
        <w:t>4</w:t>
      </w:r>
      <w:r>
        <w:rPr>
          <w:rFonts w:hint="eastAsia" w:ascii="宋体" w:hAnsi="宋体"/>
          <w:szCs w:val="21"/>
        </w:rPr>
        <w:t>）</w:t>
      </w:r>
    </w:p>
    <w:p w14:paraId="6F715FC1">
      <w:pPr>
        <w:numPr>
          <w:ilvl w:val="0"/>
          <w:numId w:val="7"/>
        </w:numPr>
        <w:spacing w:line="360" w:lineRule="auto"/>
        <w:rPr>
          <w:rFonts w:ascii="宋体" w:hAnsi="宋体"/>
          <w:szCs w:val="21"/>
        </w:rPr>
      </w:pPr>
      <w:r>
        <w:rPr>
          <w:rFonts w:hint="eastAsia" w:ascii="宋体" w:hAnsi="宋体"/>
          <w:szCs w:val="21"/>
        </w:rPr>
        <w:t>供应商在“信用中国”的信用查询记录（附件5）</w:t>
      </w:r>
    </w:p>
    <w:p w14:paraId="1ABA5AFC">
      <w:pPr>
        <w:numPr>
          <w:ilvl w:val="0"/>
          <w:numId w:val="7"/>
        </w:numPr>
        <w:spacing w:line="360" w:lineRule="auto"/>
        <w:rPr>
          <w:rFonts w:ascii="宋体" w:hAnsi="宋体"/>
          <w:szCs w:val="21"/>
        </w:rPr>
      </w:pPr>
      <w:r>
        <w:rPr>
          <w:rFonts w:hint="eastAsia" w:ascii="宋体" w:hAnsi="宋体"/>
          <w:szCs w:val="21"/>
        </w:rPr>
        <w:t>法定代表人授权书（附件</w:t>
      </w:r>
      <w:r>
        <w:rPr>
          <w:rFonts w:hint="eastAsia" w:ascii="宋体" w:hAnsi="宋体"/>
          <w:szCs w:val="21"/>
          <w:lang w:val="en-US" w:eastAsia="zh-CN"/>
        </w:rPr>
        <w:t>6</w:t>
      </w:r>
      <w:r>
        <w:rPr>
          <w:rFonts w:hint="eastAsia" w:ascii="宋体" w:hAnsi="宋体"/>
          <w:szCs w:val="21"/>
        </w:rPr>
        <w:t>）</w:t>
      </w:r>
    </w:p>
    <w:p w14:paraId="07085937">
      <w:pPr>
        <w:numPr>
          <w:ilvl w:val="0"/>
          <w:numId w:val="7"/>
        </w:numPr>
        <w:spacing w:line="360" w:lineRule="auto"/>
        <w:rPr>
          <w:rFonts w:ascii="宋体" w:hAnsi="宋体"/>
          <w:szCs w:val="21"/>
        </w:rPr>
      </w:pPr>
      <w:r>
        <w:rPr>
          <w:rFonts w:hint="eastAsia" w:ascii="宋体" w:hAnsi="宋体"/>
          <w:szCs w:val="21"/>
        </w:rPr>
        <w:t>供应商基本情况表（附件</w:t>
      </w:r>
      <w:r>
        <w:rPr>
          <w:rFonts w:hint="eastAsia" w:ascii="宋体" w:hAnsi="宋体"/>
          <w:szCs w:val="21"/>
          <w:lang w:val="en-US" w:eastAsia="zh-CN"/>
        </w:rPr>
        <w:t>7</w:t>
      </w:r>
      <w:r>
        <w:rPr>
          <w:rFonts w:hint="eastAsia" w:ascii="宋体" w:hAnsi="宋体"/>
          <w:szCs w:val="21"/>
        </w:rPr>
        <w:t>）</w:t>
      </w:r>
    </w:p>
    <w:p w14:paraId="3D1236C0">
      <w:pPr>
        <w:numPr>
          <w:ilvl w:val="0"/>
          <w:numId w:val="7"/>
        </w:numPr>
        <w:spacing w:line="360" w:lineRule="auto"/>
        <w:rPr>
          <w:rFonts w:ascii="宋体" w:hAnsi="宋体"/>
          <w:szCs w:val="21"/>
        </w:rPr>
      </w:pPr>
      <w:r>
        <w:rPr>
          <w:rFonts w:hint="eastAsia" w:ascii="宋体" w:hAnsi="宋体"/>
          <w:szCs w:val="21"/>
        </w:rPr>
        <w:t>业绩证明文件（附件</w:t>
      </w:r>
      <w:r>
        <w:rPr>
          <w:rFonts w:hint="eastAsia" w:ascii="宋体" w:hAnsi="宋体"/>
          <w:szCs w:val="21"/>
          <w:lang w:val="en-US" w:eastAsia="zh-CN"/>
        </w:rPr>
        <w:t>8</w:t>
      </w:r>
      <w:r>
        <w:rPr>
          <w:rFonts w:hint="eastAsia" w:ascii="宋体" w:hAnsi="宋体"/>
          <w:szCs w:val="21"/>
        </w:rPr>
        <w:t>）</w:t>
      </w:r>
    </w:p>
    <w:p w14:paraId="375221A2">
      <w:pPr>
        <w:numPr>
          <w:ilvl w:val="0"/>
          <w:numId w:val="7"/>
        </w:numPr>
        <w:spacing w:line="360" w:lineRule="auto"/>
        <w:rPr>
          <w:rFonts w:ascii="宋体" w:hAnsi="宋体"/>
          <w:szCs w:val="21"/>
        </w:rPr>
      </w:pPr>
      <w:r>
        <w:rPr>
          <w:rFonts w:hint="eastAsia" w:ascii="宋体" w:hAnsi="宋体"/>
          <w:szCs w:val="21"/>
        </w:rPr>
        <w:t>项目团队（附件</w:t>
      </w:r>
      <w:r>
        <w:rPr>
          <w:rFonts w:hint="eastAsia" w:ascii="宋体" w:hAnsi="宋体"/>
          <w:szCs w:val="21"/>
          <w:lang w:val="en-US" w:eastAsia="zh-CN"/>
        </w:rPr>
        <w:t>9</w:t>
      </w:r>
      <w:r>
        <w:rPr>
          <w:rFonts w:hint="eastAsia" w:ascii="宋体" w:hAnsi="宋体"/>
          <w:szCs w:val="21"/>
        </w:rPr>
        <w:t>）</w:t>
      </w:r>
    </w:p>
    <w:p w14:paraId="17317A52">
      <w:pPr>
        <w:numPr>
          <w:ilvl w:val="0"/>
          <w:numId w:val="7"/>
        </w:numPr>
        <w:spacing w:line="360" w:lineRule="auto"/>
        <w:rPr>
          <w:rFonts w:ascii="宋体" w:hAnsi="宋体"/>
          <w:szCs w:val="21"/>
        </w:rPr>
      </w:pPr>
      <w:r>
        <w:rPr>
          <w:rFonts w:hint="eastAsia" w:ascii="宋体" w:hAnsi="宋体"/>
          <w:szCs w:val="21"/>
        </w:rPr>
        <w:t>技术文件（附件</w:t>
      </w:r>
      <w:r>
        <w:rPr>
          <w:rFonts w:hint="eastAsia" w:ascii="宋体" w:hAnsi="宋体"/>
          <w:szCs w:val="21"/>
          <w:lang w:val="en-US" w:eastAsia="zh-CN"/>
        </w:rPr>
        <w:t>10</w:t>
      </w:r>
      <w:r>
        <w:rPr>
          <w:rFonts w:hint="eastAsia" w:ascii="宋体" w:hAnsi="宋体"/>
          <w:szCs w:val="21"/>
        </w:rPr>
        <w:t>）</w:t>
      </w:r>
    </w:p>
    <w:p w14:paraId="6A0ACEE3">
      <w:pPr>
        <w:numPr>
          <w:ilvl w:val="0"/>
          <w:numId w:val="7"/>
        </w:numPr>
        <w:spacing w:line="360" w:lineRule="auto"/>
        <w:rPr>
          <w:rFonts w:ascii="宋体" w:hAnsi="宋体"/>
          <w:szCs w:val="21"/>
        </w:rPr>
      </w:pPr>
      <w:r>
        <w:rPr>
          <w:rFonts w:hint="eastAsia" w:ascii="宋体" w:hAnsi="宋体"/>
          <w:szCs w:val="21"/>
        </w:rPr>
        <w:t>遴选文件要求的或供应商认为必要的其他文件（附件1</w:t>
      </w:r>
      <w:r>
        <w:rPr>
          <w:rFonts w:hint="eastAsia" w:ascii="宋体" w:hAnsi="宋体"/>
          <w:szCs w:val="21"/>
          <w:lang w:val="en-US" w:eastAsia="zh-CN"/>
        </w:rPr>
        <w:t>1</w:t>
      </w:r>
      <w:r>
        <w:rPr>
          <w:rFonts w:hint="eastAsia" w:ascii="宋体" w:hAnsi="宋体"/>
          <w:szCs w:val="21"/>
        </w:rPr>
        <w:t>）</w:t>
      </w:r>
    </w:p>
    <w:p w14:paraId="37337CAD">
      <w:pPr>
        <w:pStyle w:val="39"/>
        <w:numPr>
          <w:ilvl w:val="1"/>
          <w:numId w:val="6"/>
        </w:numPr>
        <w:spacing w:line="360" w:lineRule="auto"/>
        <w:ind w:firstLineChars="0"/>
        <w:rPr>
          <w:rFonts w:ascii="宋体" w:hAnsi="宋体"/>
          <w:szCs w:val="21"/>
        </w:rPr>
      </w:pPr>
      <w:bookmarkStart w:id="82" w:name="_Toc407612719"/>
      <w:bookmarkStart w:id="83" w:name="_Toc31694"/>
      <w:bookmarkStart w:id="84" w:name="_Toc17392994"/>
      <w:bookmarkStart w:id="85" w:name="_Toc406595704"/>
      <w:bookmarkStart w:id="86" w:name="_Toc440288441"/>
      <w:bookmarkStart w:id="87" w:name="_Toc17392458"/>
      <w:bookmarkStart w:id="88" w:name="_Toc407613088"/>
      <w:bookmarkStart w:id="89" w:name="_Toc509224157"/>
      <w:bookmarkStart w:id="90" w:name="_Toc120707455"/>
      <w:r>
        <w:rPr>
          <w:rFonts w:hint="eastAsia" w:ascii="宋体" w:hAnsi="宋体"/>
          <w:b/>
          <w:szCs w:val="21"/>
        </w:rPr>
        <w:t>供应商应将响应文件装订成册（不允许活页装订，否则该响应文件将予以拒绝）。</w:t>
      </w:r>
      <w:bookmarkEnd w:id="82"/>
      <w:bookmarkEnd w:id="83"/>
      <w:bookmarkEnd w:id="84"/>
      <w:bookmarkEnd w:id="85"/>
      <w:bookmarkEnd w:id="86"/>
      <w:bookmarkEnd w:id="87"/>
      <w:bookmarkEnd w:id="88"/>
      <w:bookmarkEnd w:id="89"/>
      <w:bookmarkEnd w:id="90"/>
    </w:p>
    <w:p w14:paraId="4F6E6887">
      <w:pPr>
        <w:spacing w:line="360" w:lineRule="auto"/>
        <w:ind w:firstLine="420" w:firstLineChars="200"/>
        <w:rPr>
          <w:rFonts w:ascii="宋体" w:hAnsi="宋体"/>
          <w:szCs w:val="21"/>
        </w:rPr>
      </w:pPr>
    </w:p>
    <w:p w14:paraId="41446B96">
      <w:pPr>
        <w:pStyle w:val="39"/>
        <w:numPr>
          <w:ilvl w:val="0"/>
          <w:numId w:val="5"/>
        </w:numPr>
        <w:spacing w:line="360" w:lineRule="auto"/>
        <w:ind w:left="0" w:firstLine="0" w:firstLineChars="0"/>
        <w:jc w:val="center"/>
        <w:outlineLvl w:val="0"/>
        <w:rPr>
          <w:rFonts w:ascii="宋体" w:hAnsi="宋体"/>
          <w:b/>
          <w:szCs w:val="21"/>
        </w:rPr>
      </w:pPr>
      <w:bookmarkStart w:id="91" w:name="_Toc23455"/>
      <w:bookmarkStart w:id="92" w:name="_Toc23977"/>
      <w:bookmarkStart w:id="93" w:name="_Toc4276"/>
      <w:bookmarkStart w:id="94" w:name="_Toc2730"/>
      <w:r>
        <w:rPr>
          <w:rFonts w:hint="eastAsia" w:ascii="宋体" w:hAnsi="宋体"/>
          <w:b/>
          <w:szCs w:val="21"/>
        </w:rPr>
        <w:t>响应文件的递交</w:t>
      </w:r>
      <w:bookmarkEnd w:id="91"/>
      <w:bookmarkEnd w:id="92"/>
      <w:bookmarkEnd w:id="93"/>
      <w:bookmarkEnd w:id="94"/>
    </w:p>
    <w:p w14:paraId="10069469">
      <w:pPr>
        <w:pStyle w:val="39"/>
        <w:numPr>
          <w:ilvl w:val="0"/>
          <w:numId w:val="6"/>
        </w:numPr>
        <w:spacing w:line="360" w:lineRule="auto"/>
        <w:ind w:firstLineChars="0"/>
        <w:rPr>
          <w:rFonts w:ascii="宋体" w:hAnsi="宋体"/>
          <w:b/>
          <w:bCs/>
          <w:szCs w:val="21"/>
        </w:rPr>
      </w:pPr>
      <w:bookmarkStart w:id="95" w:name="_Toc440288443"/>
      <w:bookmarkStart w:id="96" w:name="_Toc407613131"/>
      <w:bookmarkStart w:id="97" w:name="_Toc406595747"/>
      <w:bookmarkStart w:id="98" w:name="_Toc24286"/>
      <w:bookmarkStart w:id="99" w:name="_Toc407612762"/>
      <w:bookmarkStart w:id="100" w:name="_Toc509224159"/>
      <w:bookmarkStart w:id="101" w:name="_Toc17392460"/>
      <w:bookmarkStart w:id="102" w:name="_Toc17392996"/>
      <w:bookmarkStart w:id="103" w:name="_Toc120707457"/>
      <w:r>
        <w:rPr>
          <w:rFonts w:hint="eastAsia" w:ascii="宋体" w:hAnsi="宋体"/>
          <w:b/>
          <w:bCs/>
          <w:szCs w:val="21"/>
        </w:rPr>
        <w:t>响应文件的数量、密封和标记</w:t>
      </w:r>
      <w:bookmarkEnd w:id="95"/>
      <w:bookmarkEnd w:id="96"/>
      <w:bookmarkEnd w:id="97"/>
      <w:bookmarkEnd w:id="98"/>
      <w:bookmarkEnd w:id="99"/>
      <w:bookmarkEnd w:id="100"/>
      <w:bookmarkEnd w:id="101"/>
      <w:bookmarkEnd w:id="102"/>
      <w:bookmarkEnd w:id="103"/>
    </w:p>
    <w:p w14:paraId="4CE8F2B3">
      <w:pPr>
        <w:pStyle w:val="39"/>
        <w:numPr>
          <w:ilvl w:val="1"/>
          <w:numId w:val="6"/>
        </w:numPr>
        <w:spacing w:line="360" w:lineRule="auto"/>
        <w:ind w:firstLineChars="0"/>
        <w:rPr>
          <w:rFonts w:ascii="宋体" w:hAnsi="宋体"/>
          <w:szCs w:val="21"/>
        </w:rPr>
      </w:pPr>
      <w:bookmarkStart w:id="104" w:name="_Toc8665"/>
      <w:bookmarkStart w:id="105" w:name="_Toc406595748"/>
      <w:bookmarkStart w:id="106" w:name="_Toc17392997"/>
      <w:bookmarkStart w:id="107" w:name="_Toc17392461"/>
      <w:bookmarkStart w:id="108" w:name="_Toc440288444"/>
      <w:bookmarkStart w:id="109" w:name="_Toc407612763"/>
      <w:bookmarkStart w:id="110" w:name="_Toc509224160"/>
      <w:bookmarkStart w:id="111" w:name="_Toc120707458"/>
      <w:bookmarkStart w:id="112" w:name="_Toc407613132"/>
      <w:r>
        <w:rPr>
          <w:rFonts w:hint="eastAsia" w:ascii="宋体" w:hAnsi="宋体"/>
          <w:szCs w:val="21"/>
        </w:rPr>
        <w:t>供应商应提交一份纸质正本“响应文件”、两份纸质副本“响应文件”和一份电子文档（光盘或U盘）。每份纸质响应文件封面的右上角应标明“正本”或“副本”。</w:t>
      </w:r>
      <w:bookmarkEnd w:id="104"/>
      <w:bookmarkEnd w:id="105"/>
      <w:bookmarkEnd w:id="106"/>
      <w:bookmarkEnd w:id="107"/>
      <w:bookmarkEnd w:id="108"/>
      <w:bookmarkEnd w:id="109"/>
      <w:bookmarkEnd w:id="110"/>
      <w:bookmarkEnd w:id="111"/>
      <w:bookmarkEnd w:id="112"/>
    </w:p>
    <w:p w14:paraId="778D5F6D">
      <w:pPr>
        <w:pStyle w:val="39"/>
        <w:numPr>
          <w:ilvl w:val="1"/>
          <w:numId w:val="6"/>
        </w:numPr>
        <w:spacing w:line="360" w:lineRule="auto"/>
        <w:ind w:firstLineChars="0"/>
        <w:rPr>
          <w:rFonts w:ascii="宋体" w:hAnsi="宋体"/>
          <w:szCs w:val="21"/>
        </w:rPr>
      </w:pPr>
      <w:bookmarkStart w:id="113" w:name="_Toc406595749"/>
      <w:bookmarkStart w:id="114" w:name="_Toc407613133"/>
      <w:bookmarkStart w:id="115" w:name="_Toc509224161"/>
      <w:bookmarkStart w:id="116" w:name="_Toc17392998"/>
      <w:bookmarkStart w:id="117" w:name="_Toc5198"/>
      <w:bookmarkStart w:id="118" w:name="_Toc407612764"/>
      <w:bookmarkStart w:id="119" w:name="_Toc120707459"/>
      <w:bookmarkStart w:id="120" w:name="_Toc17392462"/>
      <w:bookmarkStart w:id="121" w:name="_Toc440288445"/>
      <w:r>
        <w:rPr>
          <w:rFonts w:hint="eastAsia" w:ascii="宋体" w:hAnsi="宋体"/>
          <w:szCs w:val="21"/>
        </w:rPr>
        <w:t>供应商应将纸质正本、纸质副本和电子文档（光盘或U盘）密封，并标明项目名称及正本、副本或电子文档等信息。</w:t>
      </w:r>
      <w:bookmarkEnd w:id="113"/>
      <w:bookmarkEnd w:id="114"/>
      <w:bookmarkEnd w:id="115"/>
      <w:bookmarkEnd w:id="116"/>
      <w:bookmarkEnd w:id="117"/>
      <w:bookmarkEnd w:id="118"/>
      <w:bookmarkEnd w:id="119"/>
      <w:bookmarkEnd w:id="120"/>
      <w:bookmarkEnd w:id="121"/>
    </w:p>
    <w:p w14:paraId="71CF1648">
      <w:pPr>
        <w:pStyle w:val="39"/>
        <w:numPr>
          <w:ilvl w:val="1"/>
          <w:numId w:val="6"/>
        </w:numPr>
        <w:spacing w:line="360" w:lineRule="auto"/>
        <w:ind w:firstLineChars="0"/>
        <w:rPr>
          <w:rFonts w:ascii="宋体" w:hAnsi="宋体"/>
          <w:szCs w:val="21"/>
        </w:rPr>
      </w:pPr>
      <w:bookmarkStart w:id="122" w:name="_Toc120707460"/>
      <w:bookmarkStart w:id="123" w:name="_Toc509224162"/>
      <w:bookmarkStart w:id="124" w:name="_Toc406595751"/>
      <w:bookmarkStart w:id="125" w:name="_Toc407612766"/>
      <w:bookmarkStart w:id="126" w:name="_Toc17392999"/>
      <w:bookmarkStart w:id="127" w:name="_Toc23599"/>
      <w:bookmarkStart w:id="128" w:name="_Toc407613135"/>
      <w:bookmarkStart w:id="129" w:name="_Toc440288446"/>
      <w:bookmarkStart w:id="130" w:name="_Toc17392463"/>
      <w:r>
        <w:rPr>
          <w:rFonts w:hint="eastAsia" w:ascii="宋体" w:hAnsi="宋体"/>
          <w:szCs w:val="21"/>
        </w:rPr>
        <w:t>每一密封信封上注明“于年月日时之前（指遴选文件中规定的日期及时间）不准启封”的字样。</w:t>
      </w:r>
      <w:bookmarkEnd w:id="122"/>
      <w:bookmarkEnd w:id="123"/>
      <w:bookmarkEnd w:id="124"/>
      <w:bookmarkEnd w:id="125"/>
      <w:bookmarkEnd w:id="126"/>
      <w:bookmarkEnd w:id="127"/>
      <w:bookmarkEnd w:id="128"/>
      <w:bookmarkEnd w:id="129"/>
      <w:bookmarkEnd w:id="130"/>
    </w:p>
    <w:p w14:paraId="70EB0AC5">
      <w:pPr>
        <w:pStyle w:val="39"/>
        <w:numPr>
          <w:ilvl w:val="0"/>
          <w:numId w:val="6"/>
        </w:numPr>
        <w:spacing w:line="360" w:lineRule="auto"/>
        <w:ind w:firstLineChars="0"/>
        <w:rPr>
          <w:rFonts w:ascii="宋体" w:hAnsi="宋体"/>
          <w:b/>
          <w:bCs/>
          <w:szCs w:val="21"/>
        </w:rPr>
      </w:pPr>
      <w:bookmarkStart w:id="131" w:name="_Toc406595756"/>
      <w:bookmarkStart w:id="132" w:name="_Toc440288447"/>
      <w:bookmarkStart w:id="133" w:name="_Toc29309"/>
      <w:bookmarkStart w:id="134" w:name="_Toc509224163"/>
      <w:bookmarkStart w:id="135" w:name="_Toc17392464"/>
      <w:bookmarkStart w:id="136" w:name="_Toc407613140"/>
      <w:bookmarkStart w:id="137" w:name="_Toc17393000"/>
      <w:bookmarkStart w:id="138" w:name="_Toc120707461"/>
      <w:bookmarkStart w:id="139" w:name="_Toc407612771"/>
      <w:r>
        <w:rPr>
          <w:rFonts w:hint="eastAsia" w:ascii="宋体" w:hAnsi="宋体"/>
          <w:b/>
          <w:bCs/>
          <w:szCs w:val="21"/>
        </w:rPr>
        <w:t>递交响应文件的截止时间</w:t>
      </w:r>
      <w:bookmarkEnd w:id="131"/>
      <w:bookmarkEnd w:id="132"/>
      <w:bookmarkEnd w:id="133"/>
      <w:bookmarkEnd w:id="134"/>
      <w:bookmarkEnd w:id="135"/>
      <w:bookmarkEnd w:id="136"/>
      <w:bookmarkEnd w:id="137"/>
      <w:bookmarkEnd w:id="138"/>
      <w:bookmarkEnd w:id="139"/>
    </w:p>
    <w:p w14:paraId="7C60C281">
      <w:pPr>
        <w:pStyle w:val="39"/>
        <w:numPr>
          <w:ilvl w:val="1"/>
          <w:numId w:val="6"/>
        </w:numPr>
        <w:spacing w:line="360" w:lineRule="auto"/>
        <w:ind w:firstLineChars="0"/>
        <w:rPr>
          <w:rFonts w:ascii="宋体" w:hAnsi="宋体"/>
          <w:szCs w:val="21"/>
        </w:rPr>
      </w:pPr>
      <w:bookmarkStart w:id="140" w:name="_Toc17068"/>
      <w:bookmarkStart w:id="141" w:name="_Toc407612772"/>
      <w:bookmarkStart w:id="142" w:name="_Toc509224164"/>
      <w:bookmarkStart w:id="143" w:name="_Toc17393001"/>
      <w:bookmarkStart w:id="144" w:name="_Toc440288448"/>
      <w:bookmarkStart w:id="145" w:name="_Toc406595757"/>
      <w:bookmarkStart w:id="146" w:name="_Toc407613141"/>
      <w:bookmarkStart w:id="147" w:name="_Toc17392465"/>
      <w:bookmarkStart w:id="148" w:name="_Toc120707462"/>
      <w:r>
        <w:rPr>
          <w:rFonts w:hint="eastAsia" w:ascii="宋体" w:hAnsi="宋体"/>
          <w:szCs w:val="21"/>
        </w:rPr>
        <w:t>所有响应文件（包括一份纸质正本“响应文件”、两份纸质副本“响应文件” 和一份电子文档（光盘或U盘））都必须按遴选</w:t>
      </w:r>
      <w:r>
        <w:rPr>
          <w:rFonts w:hint="eastAsia" w:ascii="宋体" w:hAnsi="宋体"/>
          <w:szCs w:val="21"/>
          <w:lang w:val="en-US" w:eastAsia="zh-CN"/>
        </w:rPr>
        <w:t>公告</w:t>
      </w:r>
      <w:r>
        <w:rPr>
          <w:rFonts w:hint="eastAsia" w:ascii="宋体" w:hAnsi="宋体"/>
          <w:szCs w:val="21"/>
        </w:rPr>
        <w:t>中规定的响应截止时间之前送达规定地点。</w:t>
      </w:r>
      <w:bookmarkEnd w:id="140"/>
      <w:bookmarkEnd w:id="141"/>
      <w:bookmarkEnd w:id="142"/>
      <w:bookmarkEnd w:id="143"/>
      <w:bookmarkEnd w:id="144"/>
      <w:bookmarkEnd w:id="145"/>
      <w:bookmarkEnd w:id="146"/>
      <w:bookmarkEnd w:id="147"/>
      <w:bookmarkEnd w:id="148"/>
    </w:p>
    <w:p w14:paraId="3C193318">
      <w:pPr>
        <w:spacing w:line="360" w:lineRule="auto"/>
        <w:ind w:firstLine="420" w:firstLineChars="200"/>
        <w:rPr>
          <w:rFonts w:ascii="宋体" w:hAnsi="宋体"/>
          <w:szCs w:val="21"/>
        </w:rPr>
      </w:pPr>
    </w:p>
    <w:p w14:paraId="2E057E85">
      <w:pPr>
        <w:pStyle w:val="39"/>
        <w:numPr>
          <w:ilvl w:val="0"/>
          <w:numId w:val="5"/>
        </w:numPr>
        <w:spacing w:line="360" w:lineRule="auto"/>
        <w:ind w:left="0" w:firstLine="0" w:firstLineChars="0"/>
        <w:jc w:val="center"/>
        <w:outlineLvl w:val="0"/>
        <w:rPr>
          <w:rFonts w:ascii="宋体" w:hAnsi="宋体"/>
          <w:b/>
          <w:szCs w:val="21"/>
        </w:rPr>
      </w:pPr>
      <w:bookmarkStart w:id="149" w:name="_Toc23746"/>
      <w:bookmarkStart w:id="150" w:name="_Toc10597"/>
      <w:bookmarkStart w:id="151" w:name="_Toc5400"/>
      <w:bookmarkStart w:id="152" w:name="_Toc16902"/>
      <w:r>
        <w:rPr>
          <w:rFonts w:hint="eastAsia" w:ascii="宋体" w:hAnsi="宋体"/>
          <w:b/>
          <w:szCs w:val="21"/>
        </w:rPr>
        <w:t>评审</w:t>
      </w:r>
      <w:bookmarkEnd w:id="149"/>
      <w:bookmarkEnd w:id="150"/>
      <w:bookmarkEnd w:id="151"/>
      <w:bookmarkEnd w:id="152"/>
    </w:p>
    <w:p w14:paraId="1109DDBA">
      <w:pPr>
        <w:pStyle w:val="39"/>
        <w:numPr>
          <w:ilvl w:val="0"/>
          <w:numId w:val="6"/>
        </w:numPr>
        <w:spacing w:line="360" w:lineRule="auto"/>
        <w:ind w:firstLineChars="0"/>
        <w:rPr>
          <w:rFonts w:ascii="宋体" w:hAnsi="宋体"/>
          <w:b/>
          <w:bCs/>
          <w:szCs w:val="21"/>
        </w:rPr>
      </w:pPr>
      <w:bookmarkStart w:id="153" w:name="_Toc406595812"/>
      <w:bookmarkStart w:id="154" w:name="_Toc120707464"/>
      <w:bookmarkStart w:id="155" w:name="_Toc17392467"/>
      <w:bookmarkStart w:id="156" w:name="_Toc509224166"/>
      <w:bookmarkStart w:id="157" w:name="_Toc440288450"/>
      <w:bookmarkStart w:id="158" w:name="_Toc407613196"/>
      <w:bookmarkStart w:id="159" w:name="_Toc407612827"/>
      <w:bookmarkStart w:id="160" w:name="_Toc17393003"/>
      <w:bookmarkStart w:id="161" w:name="_Toc14516"/>
      <w:r>
        <w:rPr>
          <w:rFonts w:hint="eastAsia" w:ascii="宋体" w:hAnsi="宋体"/>
          <w:b/>
          <w:bCs/>
          <w:szCs w:val="21"/>
        </w:rPr>
        <w:t>评审原则及主要方法</w:t>
      </w:r>
      <w:bookmarkEnd w:id="153"/>
      <w:bookmarkEnd w:id="154"/>
      <w:bookmarkEnd w:id="155"/>
      <w:bookmarkEnd w:id="156"/>
      <w:bookmarkEnd w:id="157"/>
      <w:bookmarkEnd w:id="158"/>
      <w:bookmarkEnd w:id="159"/>
      <w:bookmarkEnd w:id="160"/>
      <w:bookmarkEnd w:id="161"/>
    </w:p>
    <w:p w14:paraId="0CA59A30">
      <w:pPr>
        <w:pStyle w:val="39"/>
        <w:numPr>
          <w:ilvl w:val="1"/>
          <w:numId w:val="6"/>
        </w:numPr>
        <w:spacing w:line="360" w:lineRule="auto"/>
        <w:ind w:firstLineChars="0"/>
        <w:rPr>
          <w:rFonts w:ascii="宋体" w:hAnsi="宋体"/>
          <w:szCs w:val="21"/>
        </w:rPr>
      </w:pPr>
      <w:bookmarkStart w:id="162" w:name="_Toc407613202"/>
      <w:bookmarkStart w:id="163" w:name="_Toc17392468"/>
      <w:bookmarkStart w:id="164" w:name="_Toc120707465"/>
      <w:bookmarkStart w:id="165" w:name="_Toc17393004"/>
      <w:bookmarkStart w:id="166" w:name="_Toc509224167"/>
      <w:bookmarkStart w:id="167" w:name="_Toc440288451"/>
      <w:bookmarkStart w:id="168" w:name="_Toc407612833"/>
      <w:bookmarkStart w:id="169" w:name="_Toc26916"/>
      <w:bookmarkStart w:id="170" w:name="_Toc406595818"/>
      <w:r>
        <w:rPr>
          <w:rFonts w:hint="eastAsia" w:ascii="宋体" w:hAnsi="宋体"/>
          <w:szCs w:val="21"/>
        </w:rPr>
        <w:t>本次评审采用综合评分法，是指在满足遴选文件实质性要求的前提下，按照遴选文件中规定的各项因素进行综合评审后，由评委依据遴选文件和评审办法以及有关法律法规的要求对中每个合格的供应商进行独立打分，所有评委对中同一供应商打分的算术平均值为该供应商的最终得分（所有得分保留小数点后两位，第三位四舍五入）。</w:t>
      </w:r>
      <w:r>
        <w:rPr>
          <w:rFonts w:hint="eastAsia" w:ascii="宋体" w:hAnsi="宋体"/>
          <w:b/>
          <w:bCs/>
          <w:szCs w:val="21"/>
        </w:rPr>
        <w:t>供应商按最终得分高低依次排序，得分最高的供应商为成交供应商。</w:t>
      </w:r>
      <w:bookmarkEnd w:id="162"/>
      <w:bookmarkEnd w:id="163"/>
      <w:bookmarkEnd w:id="164"/>
      <w:bookmarkEnd w:id="165"/>
      <w:bookmarkEnd w:id="166"/>
      <w:bookmarkEnd w:id="167"/>
      <w:bookmarkEnd w:id="168"/>
      <w:bookmarkEnd w:id="169"/>
      <w:bookmarkEnd w:id="170"/>
    </w:p>
    <w:p w14:paraId="21D022F7">
      <w:pPr>
        <w:pStyle w:val="39"/>
        <w:numPr>
          <w:ilvl w:val="1"/>
          <w:numId w:val="6"/>
        </w:numPr>
        <w:spacing w:line="360" w:lineRule="auto"/>
        <w:ind w:firstLineChars="0"/>
        <w:rPr>
          <w:rFonts w:ascii="宋体" w:hAnsi="宋体"/>
          <w:szCs w:val="21"/>
        </w:rPr>
      </w:pPr>
      <w:bookmarkStart w:id="171" w:name="_Toc406595819"/>
      <w:bookmarkStart w:id="172" w:name="_Toc509224168"/>
      <w:bookmarkStart w:id="173" w:name="_Toc602"/>
      <w:bookmarkStart w:id="174" w:name="_Toc17393005"/>
      <w:bookmarkStart w:id="175" w:name="_Toc407612834"/>
      <w:bookmarkStart w:id="176" w:name="_Toc440288452"/>
      <w:bookmarkStart w:id="177" w:name="_Toc407613203"/>
      <w:bookmarkStart w:id="178" w:name="_Toc120707466"/>
      <w:bookmarkStart w:id="179" w:name="_Toc17392469"/>
      <w:r>
        <w:rPr>
          <w:rFonts w:hint="eastAsia" w:ascii="宋体" w:hAnsi="宋体"/>
          <w:szCs w:val="21"/>
        </w:rPr>
        <w:t>本项目具体评分因素、分值和评分标准如下</w:t>
      </w:r>
      <w:r>
        <w:rPr>
          <w:rFonts w:hint="eastAsia" w:ascii="宋体" w:hAnsi="宋体"/>
          <w:bCs/>
          <w:szCs w:val="21"/>
        </w:rPr>
        <w:t>：</w:t>
      </w:r>
      <w:bookmarkEnd w:id="171"/>
      <w:bookmarkEnd w:id="172"/>
      <w:bookmarkEnd w:id="173"/>
      <w:bookmarkEnd w:id="174"/>
      <w:bookmarkEnd w:id="175"/>
      <w:bookmarkEnd w:id="176"/>
      <w:bookmarkEnd w:id="177"/>
      <w:bookmarkEnd w:id="178"/>
      <w:bookmarkEnd w:id="179"/>
    </w:p>
    <w:tbl>
      <w:tblPr>
        <w:tblStyle w:val="25"/>
        <w:tblW w:w="8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520"/>
        <w:gridCol w:w="837"/>
      </w:tblGrid>
      <w:tr w14:paraId="1A3C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753" w:type="dxa"/>
            <w:tcBorders>
              <w:top w:val="single" w:color="auto" w:sz="4" w:space="0"/>
              <w:left w:val="single" w:color="auto" w:sz="4" w:space="0"/>
              <w:bottom w:val="single" w:color="auto" w:sz="4" w:space="0"/>
              <w:right w:val="single" w:color="auto" w:sz="4" w:space="0"/>
            </w:tcBorders>
            <w:vAlign w:val="center"/>
          </w:tcPr>
          <w:p w14:paraId="0F97FB50">
            <w:pPr>
              <w:widowControl/>
              <w:spacing w:line="560" w:lineRule="exact"/>
              <w:ind w:left="420" w:hanging="420"/>
              <w:jc w:val="center"/>
              <w:rPr>
                <w:rFonts w:ascii="宋体" w:hAnsi="宋体" w:cs="宋体"/>
                <w:b/>
                <w:szCs w:val="21"/>
              </w:rPr>
            </w:pPr>
            <w:r>
              <w:rPr>
                <w:rFonts w:hint="eastAsia" w:ascii="宋体" w:hAnsi="宋体" w:cs="宋体"/>
                <w:b/>
                <w:szCs w:val="21"/>
              </w:rPr>
              <w:t>序号</w:t>
            </w:r>
          </w:p>
        </w:tc>
        <w:tc>
          <w:tcPr>
            <w:tcW w:w="6520" w:type="dxa"/>
            <w:tcBorders>
              <w:top w:val="single" w:color="auto" w:sz="4" w:space="0"/>
              <w:left w:val="single" w:color="auto" w:sz="4" w:space="0"/>
              <w:bottom w:val="single" w:color="auto" w:sz="4" w:space="0"/>
              <w:right w:val="single" w:color="auto" w:sz="4" w:space="0"/>
            </w:tcBorders>
            <w:vAlign w:val="center"/>
          </w:tcPr>
          <w:p w14:paraId="20A3E50A">
            <w:pPr>
              <w:widowControl/>
              <w:spacing w:line="560" w:lineRule="exact"/>
              <w:ind w:left="420" w:hanging="420"/>
              <w:jc w:val="center"/>
              <w:rPr>
                <w:rFonts w:ascii="宋体" w:hAnsi="宋体" w:cs="宋体"/>
                <w:b/>
                <w:szCs w:val="21"/>
              </w:rPr>
            </w:pPr>
            <w:r>
              <w:rPr>
                <w:rFonts w:hint="eastAsia" w:ascii="宋体" w:hAnsi="宋体" w:cs="宋体"/>
                <w:b/>
                <w:szCs w:val="21"/>
              </w:rPr>
              <w:t>评审因素及说明</w:t>
            </w:r>
          </w:p>
        </w:tc>
        <w:tc>
          <w:tcPr>
            <w:tcW w:w="837" w:type="dxa"/>
            <w:tcBorders>
              <w:top w:val="single" w:color="auto" w:sz="4" w:space="0"/>
              <w:left w:val="single" w:color="auto" w:sz="4" w:space="0"/>
              <w:bottom w:val="single" w:color="auto" w:sz="4" w:space="0"/>
              <w:right w:val="single" w:color="auto" w:sz="4" w:space="0"/>
            </w:tcBorders>
            <w:vAlign w:val="center"/>
          </w:tcPr>
          <w:p w14:paraId="020BE17A">
            <w:pPr>
              <w:widowControl/>
              <w:spacing w:line="560" w:lineRule="exact"/>
              <w:ind w:left="420" w:hanging="420"/>
              <w:jc w:val="center"/>
              <w:rPr>
                <w:rFonts w:ascii="宋体" w:hAnsi="宋体" w:cs="宋体"/>
                <w:b/>
                <w:szCs w:val="21"/>
              </w:rPr>
            </w:pPr>
            <w:r>
              <w:rPr>
                <w:rFonts w:hint="eastAsia" w:ascii="宋体" w:hAnsi="宋体" w:cs="宋体"/>
                <w:b/>
                <w:szCs w:val="21"/>
              </w:rPr>
              <w:t>分值</w:t>
            </w:r>
          </w:p>
        </w:tc>
      </w:tr>
      <w:tr w14:paraId="627F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14:paraId="52E323F8">
            <w:pPr>
              <w:widowControl/>
              <w:spacing w:line="560" w:lineRule="exact"/>
              <w:ind w:left="422" w:hanging="422"/>
              <w:jc w:val="center"/>
              <w:rPr>
                <w:rFonts w:ascii="宋体" w:hAnsi="宋体" w:cs="宋体"/>
                <w:b/>
                <w:szCs w:val="21"/>
              </w:rPr>
            </w:pPr>
            <w:r>
              <w:rPr>
                <w:rFonts w:hint="eastAsia" w:ascii="宋体" w:hAnsi="宋体" w:cs="宋体"/>
                <w:b/>
                <w:szCs w:val="21"/>
              </w:rPr>
              <w:t>一、商务部分（26分）</w:t>
            </w:r>
          </w:p>
        </w:tc>
      </w:tr>
      <w:tr w14:paraId="7882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D4C757E">
            <w:pPr>
              <w:widowControl/>
              <w:spacing w:line="360" w:lineRule="auto"/>
              <w:ind w:left="420" w:right="-57" w:rightChars="-27" w:hanging="420"/>
              <w:jc w:val="center"/>
              <w:rPr>
                <w:rFonts w:ascii="宋体" w:hAnsi="宋体" w:cs="宋体"/>
                <w:szCs w:val="21"/>
              </w:rPr>
            </w:pPr>
            <w:r>
              <w:rPr>
                <w:rFonts w:hint="eastAsia" w:ascii="宋体" w:hAnsi="宋体" w:cs="宋体"/>
                <w:szCs w:val="21"/>
              </w:rPr>
              <w:t>1.1</w:t>
            </w:r>
          </w:p>
        </w:tc>
        <w:tc>
          <w:tcPr>
            <w:tcW w:w="6520" w:type="dxa"/>
            <w:tcBorders>
              <w:top w:val="single" w:color="auto" w:sz="4" w:space="0"/>
              <w:left w:val="single" w:color="auto" w:sz="4" w:space="0"/>
              <w:bottom w:val="single" w:color="auto" w:sz="4" w:space="0"/>
              <w:right w:val="single" w:color="auto" w:sz="4" w:space="0"/>
            </w:tcBorders>
            <w:vAlign w:val="center"/>
          </w:tcPr>
          <w:p w14:paraId="2C4A07E2">
            <w:pPr>
              <w:widowControl/>
              <w:spacing w:line="360" w:lineRule="auto"/>
              <w:ind w:right="-57" w:rightChars="-27"/>
              <w:rPr>
                <w:rFonts w:ascii="宋体" w:hAnsi="宋体" w:cs="宋体"/>
                <w:b/>
                <w:szCs w:val="21"/>
              </w:rPr>
            </w:pPr>
            <w:r>
              <w:rPr>
                <w:rFonts w:hint="eastAsia" w:ascii="宋体" w:hAnsi="宋体" w:cs="宋体"/>
                <w:b/>
                <w:szCs w:val="21"/>
              </w:rPr>
              <w:t>基本情况：</w:t>
            </w:r>
          </w:p>
          <w:p w14:paraId="3B7718F8">
            <w:pPr>
              <w:widowControl/>
              <w:spacing w:line="360" w:lineRule="auto"/>
              <w:ind w:right="-57" w:rightChars="-27"/>
              <w:rPr>
                <w:rFonts w:ascii="宋体" w:hAnsi="宋体" w:cs="宋体"/>
                <w:kern w:val="0"/>
                <w:szCs w:val="21"/>
              </w:rPr>
            </w:pPr>
            <w:r>
              <w:rPr>
                <w:rFonts w:hint="eastAsia" w:ascii="宋体" w:hAnsi="宋体" w:cs="宋体"/>
                <w:kern w:val="0"/>
                <w:szCs w:val="21"/>
              </w:rPr>
              <w:t>考虑供应商的综合实力、资质证书、获奖荣誉、具备履行合同所必需的专业技术能力等，能够完全满足本项目要求得6-8分；能够基本满足本项目要求得3-5分；可能无法满足本项目要求得2分及以下。</w:t>
            </w:r>
          </w:p>
        </w:tc>
        <w:tc>
          <w:tcPr>
            <w:tcW w:w="837" w:type="dxa"/>
            <w:tcBorders>
              <w:top w:val="single" w:color="auto" w:sz="4" w:space="0"/>
              <w:left w:val="single" w:color="auto" w:sz="4" w:space="0"/>
              <w:bottom w:val="single" w:color="auto" w:sz="4" w:space="0"/>
              <w:right w:val="single" w:color="auto" w:sz="4" w:space="0"/>
            </w:tcBorders>
            <w:vAlign w:val="center"/>
          </w:tcPr>
          <w:p w14:paraId="12B60A30">
            <w:pPr>
              <w:widowControl/>
              <w:spacing w:line="360" w:lineRule="auto"/>
              <w:ind w:right="-57" w:rightChars="-27"/>
              <w:jc w:val="center"/>
              <w:rPr>
                <w:rFonts w:ascii="宋体" w:hAnsi="宋体" w:cs="宋体"/>
                <w:kern w:val="0"/>
                <w:szCs w:val="21"/>
              </w:rPr>
            </w:pPr>
            <w:r>
              <w:rPr>
                <w:rFonts w:hint="eastAsia" w:ascii="宋体" w:hAnsi="宋体" w:cs="宋体"/>
                <w:szCs w:val="21"/>
              </w:rPr>
              <w:t>0-8</w:t>
            </w:r>
          </w:p>
        </w:tc>
      </w:tr>
      <w:tr w14:paraId="2716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14:paraId="53C0C489">
            <w:pPr>
              <w:widowControl/>
              <w:spacing w:line="360" w:lineRule="auto"/>
              <w:ind w:left="420" w:right="-57" w:rightChars="-27" w:hanging="420"/>
              <w:jc w:val="center"/>
              <w:rPr>
                <w:rFonts w:ascii="宋体" w:hAnsi="宋体" w:cs="宋体"/>
                <w:szCs w:val="21"/>
              </w:rPr>
            </w:pPr>
            <w:r>
              <w:rPr>
                <w:rFonts w:hint="eastAsia" w:ascii="宋体" w:hAnsi="宋体" w:cs="宋体"/>
                <w:szCs w:val="21"/>
              </w:rPr>
              <w:t>1.2</w:t>
            </w:r>
          </w:p>
        </w:tc>
        <w:tc>
          <w:tcPr>
            <w:tcW w:w="6520" w:type="dxa"/>
            <w:tcBorders>
              <w:top w:val="single" w:color="auto" w:sz="4" w:space="0"/>
              <w:left w:val="single" w:color="auto" w:sz="4" w:space="0"/>
              <w:bottom w:val="single" w:color="auto" w:sz="4" w:space="0"/>
              <w:right w:val="single" w:color="auto" w:sz="4" w:space="0"/>
            </w:tcBorders>
            <w:vAlign w:val="center"/>
          </w:tcPr>
          <w:p w14:paraId="32287616">
            <w:pPr>
              <w:widowControl/>
              <w:spacing w:line="360" w:lineRule="auto"/>
              <w:ind w:right="-57" w:rightChars="-27"/>
              <w:rPr>
                <w:rFonts w:ascii="宋体" w:hAnsi="宋体" w:cs="宋体"/>
                <w:kern w:val="0"/>
                <w:szCs w:val="21"/>
              </w:rPr>
            </w:pPr>
            <w:r>
              <w:rPr>
                <w:rFonts w:hint="eastAsia" w:ascii="宋体" w:hAnsi="宋体" w:cs="宋体"/>
                <w:b/>
                <w:bCs/>
                <w:kern w:val="0"/>
                <w:szCs w:val="21"/>
              </w:rPr>
              <w:t>相关业绩：</w:t>
            </w:r>
          </w:p>
          <w:p w14:paraId="469751F7">
            <w:pPr>
              <w:widowControl/>
              <w:spacing w:line="360" w:lineRule="auto"/>
              <w:ind w:right="-57" w:rightChars="-27"/>
              <w:rPr>
                <w:rFonts w:ascii="宋体" w:hAnsi="宋体" w:cs="宋体"/>
                <w:kern w:val="0"/>
                <w:szCs w:val="21"/>
              </w:rPr>
            </w:pPr>
            <w:r>
              <w:rPr>
                <w:rFonts w:hint="eastAsia" w:ascii="宋体" w:hAnsi="宋体" w:cs="宋体"/>
                <w:kern w:val="0"/>
                <w:szCs w:val="21"/>
              </w:rPr>
              <w:t>供应商自2021年1月1日至遴选截止日前承担过的本项目类似项目，每提供1个合格业绩证明，得3分，满分18分。</w:t>
            </w:r>
          </w:p>
          <w:p w14:paraId="59278A51">
            <w:pPr>
              <w:widowControl/>
              <w:spacing w:line="360" w:lineRule="auto"/>
              <w:ind w:right="-57" w:rightChars="-27"/>
              <w:rPr>
                <w:rFonts w:ascii="宋体" w:hAnsi="宋体" w:cs="宋体"/>
                <w:kern w:val="0"/>
                <w:szCs w:val="21"/>
              </w:rPr>
            </w:pPr>
            <w:r>
              <w:rPr>
                <w:rFonts w:hint="eastAsia" w:ascii="宋体" w:hAnsi="宋体" w:cs="宋体"/>
                <w:kern w:val="0"/>
                <w:szCs w:val="21"/>
              </w:rPr>
              <w:t>（业绩证明材料应提供双方合同复印件，合同内容应包括但不限于：双方单位名称、委托金额、委托内容等）</w:t>
            </w:r>
          </w:p>
        </w:tc>
        <w:tc>
          <w:tcPr>
            <w:tcW w:w="837" w:type="dxa"/>
            <w:tcBorders>
              <w:top w:val="single" w:color="auto" w:sz="4" w:space="0"/>
              <w:left w:val="single" w:color="auto" w:sz="4" w:space="0"/>
              <w:bottom w:val="single" w:color="auto" w:sz="4" w:space="0"/>
              <w:right w:val="single" w:color="auto" w:sz="4" w:space="0"/>
            </w:tcBorders>
            <w:vAlign w:val="center"/>
          </w:tcPr>
          <w:p w14:paraId="60A3BCC2">
            <w:pPr>
              <w:widowControl/>
              <w:spacing w:line="360" w:lineRule="auto"/>
              <w:ind w:right="-57" w:rightChars="-27"/>
              <w:jc w:val="center"/>
              <w:rPr>
                <w:rFonts w:ascii="宋体" w:hAnsi="宋体" w:cs="宋体"/>
                <w:szCs w:val="21"/>
              </w:rPr>
            </w:pPr>
            <w:r>
              <w:rPr>
                <w:rFonts w:hint="eastAsia" w:ascii="宋体" w:hAnsi="宋体" w:cs="宋体"/>
                <w:szCs w:val="21"/>
              </w:rPr>
              <w:t>0-18</w:t>
            </w:r>
          </w:p>
        </w:tc>
      </w:tr>
      <w:tr w14:paraId="0BE8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14:paraId="604D0AF0">
            <w:pPr>
              <w:widowControl/>
              <w:spacing w:line="560" w:lineRule="exact"/>
              <w:jc w:val="center"/>
              <w:rPr>
                <w:rFonts w:ascii="宋体" w:hAnsi="宋体" w:cs="宋体"/>
                <w:b/>
                <w:kern w:val="0"/>
                <w:szCs w:val="21"/>
              </w:rPr>
            </w:pPr>
            <w:r>
              <w:rPr>
                <w:rFonts w:hint="eastAsia" w:ascii="宋体" w:hAnsi="宋体" w:cs="宋体"/>
                <w:b/>
                <w:kern w:val="0"/>
                <w:szCs w:val="21"/>
              </w:rPr>
              <w:t>二、技术部分（64分）</w:t>
            </w:r>
          </w:p>
        </w:tc>
      </w:tr>
      <w:tr w14:paraId="4953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41CBA38">
            <w:pPr>
              <w:widowControl/>
              <w:spacing w:line="360" w:lineRule="auto"/>
              <w:ind w:left="420" w:right="-57" w:rightChars="-27" w:hanging="420"/>
              <w:jc w:val="center"/>
              <w:rPr>
                <w:rFonts w:ascii="宋体" w:hAnsi="宋体" w:cs="宋体"/>
                <w:szCs w:val="21"/>
              </w:rPr>
            </w:pPr>
            <w:r>
              <w:rPr>
                <w:rFonts w:hint="eastAsia" w:ascii="宋体" w:hAnsi="宋体" w:cs="宋体"/>
                <w:szCs w:val="21"/>
              </w:rPr>
              <w:t>2.1</w:t>
            </w:r>
          </w:p>
        </w:tc>
        <w:tc>
          <w:tcPr>
            <w:tcW w:w="6520" w:type="dxa"/>
            <w:tcBorders>
              <w:top w:val="single" w:color="auto" w:sz="4" w:space="0"/>
              <w:left w:val="single" w:color="auto" w:sz="4" w:space="0"/>
              <w:bottom w:val="single" w:color="auto" w:sz="4" w:space="0"/>
              <w:right w:val="single" w:color="auto" w:sz="4" w:space="0"/>
            </w:tcBorders>
            <w:vAlign w:val="center"/>
          </w:tcPr>
          <w:p w14:paraId="56B6C7C3">
            <w:pPr>
              <w:widowControl/>
              <w:spacing w:line="360" w:lineRule="auto"/>
              <w:ind w:right="-57" w:rightChars="-27"/>
              <w:rPr>
                <w:rFonts w:ascii="宋体" w:hAnsi="宋体" w:cs="宋体"/>
                <w:b/>
                <w:kern w:val="0"/>
                <w:szCs w:val="21"/>
              </w:rPr>
            </w:pPr>
            <w:r>
              <w:rPr>
                <w:rFonts w:hint="eastAsia" w:ascii="宋体" w:hAnsi="宋体" w:cs="宋体"/>
                <w:b/>
                <w:kern w:val="0"/>
                <w:szCs w:val="21"/>
              </w:rPr>
              <w:t>项目团队人员：</w:t>
            </w:r>
          </w:p>
          <w:p w14:paraId="4206B6A0">
            <w:pPr>
              <w:widowControl/>
              <w:spacing w:line="360" w:lineRule="auto"/>
              <w:ind w:right="-57" w:rightChars="-27"/>
              <w:rPr>
                <w:rFonts w:ascii="宋体" w:hAnsi="宋体" w:cs="宋体"/>
                <w:kern w:val="0"/>
                <w:szCs w:val="21"/>
              </w:rPr>
            </w:pPr>
            <w:r>
              <w:rPr>
                <w:rFonts w:hint="eastAsia" w:ascii="宋体" w:hAnsi="宋体" w:cs="宋体"/>
                <w:kern w:val="0"/>
                <w:szCs w:val="21"/>
              </w:rPr>
              <w:t>综合考察项目团队人员承担同类项目经验丰富、履历优秀，服务团队人员配置合理、职责分工明确、专业人员数量充足、针对性强得12-14分；</w:t>
            </w:r>
          </w:p>
          <w:p w14:paraId="6C6D0B1F">
            <w:pPr>
              <w:widowControl/>
              <w:spacing w:line="360" w:lineRule="auto"/>
              <w:ind w:right="-57" w:rightChars="-27"/>
              <w:rPr>
                <w:rFonts w:ascii="宋体" w:hAnsi="宋体" w:cs="宋体"/>
                <w:kern w:val="0"/>
                <w:szCs w:val="21"/>
              </w:rPr>
            </w:pPr>
            <w:r>
              <w:rPr>
                <w:rFonts w:hint="eastAsia" w:ascii="宋体" w:hAnsi="宋体" w:cs="宋体"/>
                <w:kern w:val="0"/>
                <w:szCs w:val="21"/>
              </w:rPr>
              <w:t>项目团队人员经验较为丰富、履历较为优秀，团队人员配置、相关专业人员能够匹配本项目要求得8-11分；</w:t>
            </w:r>
          </w:p>
          <w:p w14:paraId="38CAD3ED">
            <w:pPr>
              <w:widowControl/>
              <w:spacing w:line="360" w:lineRule="auto"/>
              <w:ind w:right="-57" w:rightChars="-27"/>
              <w:rPr>
                <w:rFonts w:ascii="宋体" w:hAnsi="宋体" w:cs="宋体"/>
                <w:kern w:val="0"/>
                <w:szCs w:val="21"/>
              </w:rPr>
            </w:pPr>
            <w:r>
              <w:rPr>
                <w:rFonts w:hint="eastAsia" w:ascii="宋体" w:hAnsi="宋体" w:cs="宋体"/>
                <w:kern w:val="0"/>
                <w:szCs w:val="21"/>
              </w:rPr>
              <w:t>项目团队人员经验较少，团队人员配置、相关专业人员不能完全满足本项目要求得4-7分；</w:t>
            </w:r>
          </w:p>
          <w:p w14:paraId="5EB9C334">
            <w:pPr>
              <w:widowControl/>
              <w:spacing w:line="360" w:lineRule="auto"/>
              <w:ind w:right="-57" w:rightChars="-27"/>
              <w:rPr>
                <w:rFonts w:ascii="宋体" w:hAnsi="宋体" w:cs="宋体"/>
                <w:kern w:val="0"/>
                <w:szCs w:val="21"/>
              </w:rPr>
            </w:pPr>
            <w:r>
              <w:rPr>
                <w:rFonts w:hint="eastAsia" w:ascii="宋体" w:hAnsi="宋体" w:cs="宋体"/>
                <w:kern w:val="0"/>
                <w:szCs w:val="21"/>
              </w:rPr>
              <w:t>项目团队人员经验不足，团队人员配置、相关专业人员无法满足本项目要求得1-3分；</w:t>
            </w:r>
          </w:p>
          <w:p w14:paraId="308830FA">
            <w:pPr>
              <w:widowControl/>
              <w:spacing w:line="360" w:lineRule="auto"/>
              <w:ind w:right="-57" w:rightChars="-27"/>
              <w:rPr>
                <w:rFonts w:ascii="宋体" w:hAnsi="宋体" w:cs="宋体"/>
                <w:kern w:val="0"/>
                <w:szCs w:val="21"/>
              </w:rPr>
            </w:pPr>
            <w:r>
              <w:rPr>
                <w:rFonts w:hint="eastAsia" w:ascii="宋体" w:hAnsi="宋体" w:cs="宋体"/>
                <w:kern w:val="0"/>
                <w:szCs w:val="21"/>
              </w:rPr>
              <w:t>未提供不得分。</w:t>
            </w:r>
          </w:p>
        </w:tc>
        <w:tc>
          <w:tcPr>
            <w:tcW w:w="837" w:type="dxa"/>
            <w:tcBorders>
              <w:top w:val="single" w:color="auto" w:sz="4" w:space="0"/>
              <w:left w:val="single" w:color="auto" w:sz="4" w:space="0"/>
              <w:bottom w:val="single" w:color="auto" w:sz="4" w:space="0"/>
              <w:right w:val="single" w:color="auto" w:sz="4" w:space="0"/>
            </w:tcBorders>
            <w:vAlign w:val="center"/>
          </w:tcPr>
          <w:p w14:paraId="3C0CF1FF">
            <w:pPr>
              <w:widowControl/>
              <w:spacing w:line="360" w:lineRule="auto"/>
              <w:ind w:right="-57" w:rightChars="-27"/>
              <w:jc w:val="center"/>
              <w:rPr>
                <w:rFonts w:ascii="宋体" w:hAnsi="宋体" w:cs="宋体"/>
                <w:color w:val="000000"/>
                <w:szCs w:val="21"/>
              </w:rPr>
            </w:pPr>
            <w:r>
              <w:rPr>
                <w:rFonts w:hint="eastAsia" w:ascii="宋体" w:hAnsi="宋体" w:cs="宋体"/>
                <w:color w:val="000000"/>
                <w:szCs w:val="21"/>
              </w:rPr>
              <w:t>0-14</w:t>
            </w:r>
          </w:p>
        </w:tc>
      </w:tr>
      <w:tr w14:paraId="1CA8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A15BB28">
            <w:pPr>
              <w:widowControl/>
              <w:spacing w:line="360" w:lineRule="auto"/>
              <w:ind w:left="420" w:hanging="420"/>
              <w:jc w:val="center"/>
              <w:rPr>
                <w:rFonts w:ascii="宋体" w:hAnsi="宋体" w:cs="宋体"/>
                <w:szCs w:val="21"/>
              </w:rPr>
            </w:pPr>
            <w:r>
              <w:rPr>
                <w:rFonts w:hint="eastAsia" w:ascii="宋体" w:hAnsi="宋体" w:cs="宋体"/>
                <w:szCs w:val="21"/>
              </w:rPr>
              <w:t>2.2</w:t>
            </w:r>
          </w:p>
        </w:tc>
        <w:tc>
          <w:tcPr>
            <w:tcW w:w="6520" w:type="dxa"/>
            <w:tcBorders>
              <w:top w:val="single" w:color="auto" w:sz="4" w:space="0"/>
              <w:left w:val="single" w:color="auto" w:sz="4" w:space="0"/>
              <w:right w:val="single" w:color="auto" w:sz="4" w:space="0"/>
            </w:tcBorders>
            <w:vAlign w:val="center"/>
          </w:tcPr>
          <w:p w14:paraId="50EF6C13">
            <w:pPr>
              <w:spacing w:line="360" w:lineRule="auto"/>
              <w:rPr>
                <w:rFonts w:hint="eastAsia"/>
                <w:b/>
                <w:bCs/>
                <w:sz w:val="21"/>
                <w:szCs w:val="21"/>
              </w:rPr>
            </w:pPr>
            <w:r>
              <w:rPr>
                <w:rFonts w:hint="eastAsia"/>
                <w:b/>
                <w:bCs/>
                <w:sz w:val="21"/>
                <w:szCs w:val="21"/>
              </w:rPr>
              <w:t>承保服务方案：</w:t>
            </w:r>
          </w:p>
          <w:p w14:paraId="28C86A4F">
            <w:pPr>
              <w:spacing w:line="360" w:lineRule="auto"/>
              <w:rPr>
                <w:sz w:val="21"/>
                <w:szCs w:val="21"/>
              </w:rPr>
            </w:pPr>
            <w:r>
              <w:rPr>
                <w:rFonts w:hint="eastAsia"/>
                <w:sz w:val="21"/>
                <w:szCs w:val="21"/>
              </w:rPr>
              <w:t>方案完整、内容具体、全面，有详细说明，承保实施方案流程明确、便捷，服务承诺好、可实施性强，得</w:t>
            </w:r>
            <w:r>
              <w:rPr>
                <w:rFonts w:hint="eastAsia"/>
                <w:sz w:val="21"/>
                <w:szCs w:val="21"/>
                <w:lang w:val="en-US" w:eastAsia="zh-CN"/>
              </w:rPr>
              <w:t>16-20</w:t>
            </w:r>
            <w:r>
              <w:rPr>
                <w:rFonts w:hint="eastAsia"/>
                <w:sz w:val="21"/>
                <w:szCs w:val="21"/>
              </w:rPr>
              <w:t>分；</w:t>
            </w:r>
          </w:p>
          <w:p w14:paraId="384C82E5">
            <w:pPr>
              <w:spacing w:line="360" w:lineRule="auto"/>
              <w:rPr>
                <w:sz w:val="21"/>
                <w:szCs w:val="21"/>
              </w:rPr>
            </w:pPr>
            <w:r>
              <w:rPr>
                <w:rFonts w:hint="eastAsia"/>
                <w:sz w:val="21"/>
                <w:szCs w:val="21"/>
              </w:rPr>
              <w:t>方案较完整、内容全面，但细化不足，承保实施方案流程较完善、但稍显复杂，有服务承诺，有可实施性，得</w:t>
            </w:r>
            <w:r>
              <w:rPr>
                <w:rFonts w:hint="eastAsia"/>
                <w:sz w:val="21"/>
                <w:szCs w:val="21"/>
                <w:lang w:val="en-US" w:eastAsia="zh-CN"/>
              </w:rPr>
              <w:t>11-15</w:t>
            </w:r>
            <w:r>
              <w:rPr>
                <w:rFonts w:hint="eastAsia"/>
                <w:sz w:val="21"/>
                <w:szCs w:val="21"/>
              </w:rPr>
              <w:t>分；</w:t>
            </w:r>
          </w:p>
          <w:p w14:paraId="7B98BA5D">
            <w:pPr>
              <w:spacing w:line="360" w:lineRule="auto"/>
              <w:rPr>
                <w:sz w:val="21"/>
                <w:szCs w:val="21"/>
              </w:rPr>
            </w:pPr>
            <w:r>
              <w:rPr>
                <w:rFonts w:hint="eastAsia"/>
                <w:sz w:val="21"/>
                <w:szCs w:val="21"/>
              </w:rPr>
              <w:t>方案基本合理，服务内容不够具体、全面、详细，承保方案流程繁琐、无针对性，有服务承诺、具有一定的操作性，得</w:t>
            </w:r>
            <w:r>
              <w:rPr>
                <w:rFonts w:hint="eastAsia"/>
                <w:sz w:val="21"/>
                <w:szCs w:val="21"/>
                <w:lang w:val="en-US" w:eastAsia="zh-CN"/>
              </w:rPr>
              <w:t>6-10</w:t>
            </w:r>
            <w:r>
              <w:rPr>
                <w:rFonts w:hint="eastAsia"/>
                <w:sz w:val="21"/>
                <w:szCs w:val="21"/>
              </w:rPr>
              <w:t>分；</w:t>
            </w:r>
          </w:p>
          <w:p w14:paraId="5A154899">
            <w:pPr>
              <w:spacing w:line="360" w:lineRule="auto"/>
              <w:rPr>
                <w:sz w:val="21"/>
                <w:szCs w:val="21"/>
              </w:rPr>
            </w:pPr>
            <w:r>
              <w:rPr>
                <w:rFonts w:hint="eastAsia"/>
                <w:sz w:val="21"/>
                <w:szCs w:val="21"/>
              </w:rPr>
              <w:t>方案欠完善，存在明显瑕疵，流程不明确，可操作性差，得1</w:t>
            </w:r>
            <w:r>
              <w:rPr>
                <w:rFonts w:hint="eastAsia"/>
                <w:sz w:val="21"/>
                <w:szCs w:val="21"/>
                <w:lang w:val="en-US" w:eastAsia="zh-CN"/>
              </w:rPr>
              <w:t>-5</w:t>
            </w:r>
            <w:r>
              <w:rPr>
                <w:rFonts w:hint="eastAsia"/>
                <w:sz w:val="21"/>
                <w:szCs w:val="21"/>
              </w:rPr>
              <w:t>分。</w:t>
            </w:r>
          </w:p>
          <w:p w14:paraId="43BE218F">
            <w:pPr>
              <w:widowControl/>
              <w:spacing w:line="360" w:lineRule="auto"/>
              <w:rPr>
                <w:rFonts w:ascii="宋体" w:hAnsi="宋体" w:cs="宋体"/>
                <w:color w:val="000000"/>
                <w:szCs w:val="21"/>
              </w:rPr>
            </w:pPr>
            <w:r>
              <w:rPr>
                <w:rFonts w:hint="eastAsia"/>
                <w:sz w:val="21"/>
                <w:szCs w:val="21"/>
              </w:rPr>
              <w:t>未提供，得0分。</w:t>
            </w:r>
          </w:p>
        </w:tc>
        <w:tc>
          <w:tcPr>
            <w:tcW w:w="837" w:type="dxa"/>
            <w:tcBorders>
              <w:top w:val="single" w:color="auto" w:sz="4" w:space="0"/>
              <w:left w:val="single" w:color="auto" w:sz="4" w:space="0"/>
              <w:bottom w:val="single" w:color="auto" w:sz="4" w:space="0"/>
              <w:right w:val="single" w:color="auto" w:sz="4" w:space="0"/>
            </w:tcBorders>
            <w:vAlign w:val="center"/>
          </w:tcPr>
          <w:p w14:paraId="794C2533">
            <w:pPr>
              <w:widowControl/>
              <w:spacing w:line="360" w:lineRule="auto"/>
              <w:jc w:val="center"/>
              <w:rPr>
                <w:rFonts w:ascii="宋体" w:hAnsi="宋体" w:cs="宋体"/>
                <w:kern w:val="0"/>
                <w:szCs w:val="21"/>
              </w:rPr>
            </w:pPr>
          </w:p>
          <w:p w14:paraId="6D37D9DE">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20</w:t>
            </w:r>
          </w:p>
        </w:tc>
      </w:tr>
      <w:tr w14:paraId="1369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FF7E4B1">
            <w:pPr>
              <w:widowControl/>
              <w:spacing w:line="360" w:lineRule="auto"/>
              <w:jc w:val="center"/>
              <w:rPr>
                <w:rFonts w:ascii="宋体" w:hAnsi="宋体" w:cs="宋体"/>
                <w:szCs w:val="21"/>
              </w:rPr>
            </w:pPr>
            <w:r>
              <w:rPr>
                <w:rFonts w:hint="eastAsia" w:ascii="宋体" w:hAnsi="宋体" w:cs="宋体"/>
                <w:szCs w:val="21"/>
              </w:rPr>
              <w:t>2.3</w:t>
            </w:r>
          </w:p>
        </w:tc>
        <w:tc>
          <w:tcPr>
            <w:tcW w:w="6520" w:type="dxa"/>
            <w:tcBorders>
              <w:top w:val="single" w:color="auto" w:sz="4" w:space="0"/>
              <w:left w:val="single" w:color="auto" w:sz="4" w:space="0"/>
              <w:bottom w:val="single" w:color="auto" w:sz="4" w:space="0"/>
              <w:right w:val="single" w:color="auto" w:sz="4" w:space="0"/>
            </w:tcBorders>
            <w:vAlign w:val="center"/>
          </w:tcPr>
          <w:p w14:paraId="4224628B">
            <w:pPr>
              <w:spacing w:line="360" w:lineRule="auto"/>
              <w:ind w:right="-25" w:rightChars="-12"/>
              <w:rPr>
                <w:rFonts w:hint="eastAsia"/>
                <w:b/>
                <w:bCs/>
                <w:sz w:val="21"/>
                <w:szCs w:val="21"/>
              </w:rPr>
            </w:pPr>
            <w:r>
              <w:rPr>
                <w:rFonts w:hint="eastAsia"/>
                <w:b/>
                <w:bCs/>
                <w:sz w:val="21"/>
                <w:szCs w:val="21"/>
              </w:rPr>
              <w:t>理赔服务方案：</w:t>
            </w:r>
          </w:p>
          <w:p w14:paraId="53CBE4FF">
            <w:pPr>
              <w:spacing w:line="360" w:lineRule="auto"/>
              <w:rPr>
                <w:sz w:val="21"/>
                <w:szCs w:val="21"/>
              </w:rPr>
            </w:pPr>
            <w:r>
              <w:rPr>
                <w:rFonts w:hint="eastAsia"/>
                <w:sz w:val="21"/>
                <w:szCs w:val="21"/>
              </w:rPr>
              <w:t>方案完整、内容具体、全面，有合理的理赔实施方案，流程明确、便捷，时效说明详尽，服务承诺好、可实施性强，得</w:t>
            </w:r>
            <w:r>
              <w:rPr>
                <w:rFonts w:hint="eastAsia"/>
                <w:sz w:val="21"/>
                <w:szCs w:val="21"/>
                <w:lang w:val="en-US" w:eastAsia="zh-CN"/>
              </w:rPr>
              <w:t>16-20</w:t>
            </w:r>
            <w:r>
              <w:rPr>
                <w:rFonts w:hint="eastAsia"/>
                <w:sz w:val="21"/>
                <w:szCs w:val="21"/>
              </w:rPr>
              <w:t>分；</w:t>
            </w:r>
          </w:p>
          <w:p w14:paraId="7D64E7B4">
            <w:pPr>
              <w:spacing w:line="360" w:lineRule="auto"/>
              <w:rPr>
                <w:sz w:val="21"/>
                <w:szCs w:val="21"/>
              </w:rPr>
            </w:pPr>
            <w:r>
              <w:rPr>
                <w:rFonts w:hint="eastAsia"/>
                <w:sz w:val="21"/>
                <w:szCs w:val="21"/>
              </w:rPr>
              <w:t>方案较完整、内容全面，但细化不足，理赔实施方案较完善，流程科学，时效说明不够详细，有服务承诺、可实施性，得</w:t>
            </w:r>
            <w:r>
              <w:rPr>
                <w:rFonts w:hint="eastAsia"/>
                <w:sz w:val="21"/>
                <w:szCs w:val="21"/>
                <w:lang w:val="en-US" w:eastAsia="zh-CN"/>
              </w:rPr>
              <w:t>11-15</w:t>
            </w:r>
            <w:r>
              <w:rPr>
                <w:rFonts w:hint="eastAsia"/>
                <w:sz w:val="21"/>
                <w:szCs w:val="21"/>
              </w:rPr>
              <w:t>分；</w:t>
            </w:r>
          </w:p>
          <w:p w14:paraId="0DC3F687">
            <w:pPr>
              <w:spacing w:line="360" w:lineRule="auto"/>
              <w:rPr>
                <w:sz w:val="21"/>
                <w:szCs w:val="21"/>
              </w:rPr>
            </w:pPr>
            <w:r>
              <w:rPr>
                <w:rFonts w:hint="eastAsia"/>
                <w:sz w:val="21"/>
                <w:szCs w:val="21"/>
              </w:rPr>
              <w:t>方案基本合理，服务内容不够具体、全面、详细，理赔方案不完整，流程、时效说明欠完善，有服务承诺，具有一定的操作性，得</w:t>
            </w:r>
            <w:r>
              <w:rPr>
                <w:rFonts w:hint="eastAsia"/>
                <w:sz w:val="21"/>
                <w:szCs w:val="21"/>
                <w:lang w:val="en-US" w:eastAsia="zh-CN"/>
              </w:rPr>
              <w:t>6-10</w:t>
            </w:r>
            <w:r>
              <w:rPr>
                <w:rFonts w:hint="eastAsia"/>
                <w:sz w:val="21"/>
                <w:szCs w:val="21"/>
              </w:rPr>
              <w:t>分；</w:t>
            </w:r>
          </w:p>
          <w:p w14:paraId="506C3003">
            <w:pPr>
              <w:spacing w:line="360" w:lineRule="auto"/>
              <w:rPr>
                <w:sz w:val="21"/>
                <w:szCs w:val="21"/>
              </w:rPr>
            </w:pPr>
            <w:r>
              <w:rPr>
                <w:rFonts w:hint="eastAsia"/>
                <w:sz w:val="21"/>
                <w:szCs w:val="21"/>
              </w:rPr>
              <w:t>方案欠完善，存在明显瑕疵，流程、实效不明确，可操作性差，得1</w:t>
            </w:r>
            <w:r>
              <w:rPr>
                <w:rFonts w:hint="eastAsia"/>
                <w:sz w:val="21"/>
                <w:szCs w:val="21"/>
                <w:lang w:val="en-US" w:eastAsia="zh-CN"/>
              </w:rPr>
              <w:t>-5</w:t>
            </w:r>
            <w:r>
              <w:rPr>
                <w:rFonts w:hint="eastAsia"/>
                <w:sz w:val="21"/>
                <w:szCs w:val="21"/>
              </w:rPr>
              <w:t>分。</w:t>
            </w:r>
          </w:p>
          <w:p w14:paraId="77F09274">
            <w:pPr>
              <w:widowControl/>
              <w:spacing w:line="360" w:lineRule="auto"/>
              <w:jc w:val="left"/>
              <w:rPr>
                <w:rFonts w:ascii="宋体" w:hAnsi="宋体" w:cs="宋体"/>
                <w:b/>
                <w:bCs/>
                <w:szCs w:val="21"/>
              </w:rPr>
            </w:pPr>
            <w:r>
              <w:rPr>
                <w:rFonts w:hint="eastAsia"/>
                <w:sz w:val="21"/>
                <w:szCs w:val="21"/>
              </w:rPr>
              <w:t>未提供，得0分。</w:t>
            </w:r>
          </w:p>
        </w:tc>
        <w:tc>
          <w:tcPr>
            <w:tcW w:w="837" w:type="dxa"/>
            <w:tcBorders>
              <w:top w:val="single" w:color="auto" w:sz="4" w:space="0"/>
              <w:left w:val="single" w:color="auto" w:sz="4" w:space="0"/>
              <w:bottom w:val="single" w:color="auto" w:sz="4" w:space="0"/>
              <w:right w:val="single" w:color="auto" w:sz="4" w:space="0"/>
            </w:tcBorders>
            <w:vAlign w:val="center"/>
          </w:tcPr>
          <w:p w14:paraId="19675F88">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20</w:t>
            </w:r>
          </w:p>
        </w:tc>
      </w:tr>
      <w:tr w14:paraId="29A5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14:paraId="79774C9A">
            <w:pPr>
              <w:widowControl/>
              <w:spacing w:line="360" w:lineRule="auto"/>
              <w:jc w:val="center"/>
              <w:rPr>
                <w:rFonts w:ascii="宋体" w:hAnsi="宋体" w:cs="宋体"/>
                <w:bCs/>
                <w:szCs w:val="21"/>
              </w:rPr>
            </w:pPr>
            <w:r>
              <w:rPr>
                <w:rFonts w:hint="eastAsia" w:ascii="宋体" w:hAnsi="宋体" w:cs="宋体"/>
                <w:szCs w:val="21"/>
              </w:rPr>
              <w:t>2.4</w:t>
            </w:r>
          </w:p>
        </w:tc>
        <w:tc>
          <w:tcPr>
            <w:tcW w:w="6520" w:type="dxa"/>
            <w:tcBorders>
              <w:top w:val="single" w:color="auto" w:sz="4" w:space="0"/>
              <w:left w:val="single" w:color="auto" w:sz="4" w:space="0"/>
              <w:bottom w:val="single" w:color="auto" w:sz="4" w:space="0"/>
              <w:right w:val="single" w:color="auto" w:sz="4" w:space="0"/>
            </w:tcBorders>
            <w:vAlign w:val="center"/>
          </w:tcPr>
          <w:p w14:paraId="775362A4">
            <w:pPr>
              <w:spacing w:line="360" w:lineRule="auto"/>
              <w:ind w:right="-25" w:rightChars="-12"/>
              <w:rPr>
                <w:rFonts w:hint="eastAsia"/>
                <w:b/>
                <w:bCs/>
                <w:sz w:val="21"/>
                <w:szCs w:val="21"/>
              </w:rPr>
            </w:pPr>
            <w:r>
              <w:rPr>
                <w:rFonts w:hint="eastAsia"/>
                <w:b/>
                <w:bCs/>
                <w:sz w:val="21"/>
                <w:szCs w:val="21"/>
              </w:rPr>
              <w:t>应急及重大案件处理：</w:t>
            </w:r>
          </w:p>
          <w:p w14:paraId="73BEC6A6">
            <w:pPr>
              <w:spacing w:line="360" w:lineRule="auto"/>
              <w:rPr>
                <w:sz w:val="21"/>
                <w:szCs w:val="21"/>
              </w:rPr>
            </w:pPr>
            <w:r>
              <w:rPr>
                <w:rFonts w:hint="eastAsia"/>
                <w:sz w:val="21"/>
                <w:szCs w:val="21"/>
              </w:rPr>
              <w:t>投标人根据可能出现的紧急情况，制定时效性强有针对性的应急方案，从方案的科学性、合理性、可实施性等方面进行综合比较：</w:t>
            </w:r>
          </w:p>
          <w:p w14:paraId="58B315D8">
            <w:pPr>
              <w:spacing w:line="360" w:lineRule="auto"/>
              <w:rPr>
                <w:sz w:val="21"/>
                <w:szCs w:val="21"/>
              </w:rPr>
            </w:pPr>
            <w:r>
              <w:rPr>
                <w:rFonts w:hint="eastAsia"/>
                <w:sz w:val="21"/>
                <w:szCs w:val="21"/>
              </w:rPr>
              <w:t>方案完整、全面，预案科学、合理，反应时间短，有专门的应急处理团队，完全满足项目特点和招标文件要求的，得</w:t>
            </w:r>
            <w:r>
              <w:rPr>
                <w:rFonts w:hint="eastAsia"/>
                <w:sz w:val="21"/>
                <w:szCs w:val="21"/>
                <w:lang w:val="en-US" w:eastAsia="zh-CN"/>
              </w:rPr>
              <w:t>8-10</w:t>
            </w:r>
            <w:r>
              <w:rPr>
                <w:rFonts w:hint="eastAsia"/>
                <w:sz w:val="21"/>
                <w:szCs w:val="21"/>
              </w:rPr>
              <w:t>分；</w:t>
            </w:r>
          </w:p>
          <w:p w14:paraId="48C65B77">
            <w:pPr>
              <w:spacing w:line="360" w:lineRule="auto"/>
              <w:rPr>
                <w:sz w:val="21"/>
                <w:szCs w:val="21"/>
              </w:rPr>
            </w:pPr>
            <w:r>
              <w:rPr>
                <w:rFonts w:hint="eastAsia"/>
                <w:sz w:val="21"/>
                <w:szCs w:val="21"/>
              </w:rPr>
              <w:t>方案较完整、全面，预案比较科学、合理，反应时间较短，有专门的应急处理团队，满足项目特点和招标文件要求的，得</w:t>
            </w:r>
            <w:r>
              <w:rPr>
                <w:rFonts w:hint="eastAsia"/>
                <w:sz w:val="21"/>
                <w:szCs w:val="21"/>
                <w:lang w:val="en-US" w:eastAsia="zh-CN"/>
              </w:rPr>
              <w:t>5-7</w:t>
            </w:r>
            <w:r>
              <w:rPr>
                <w:rFonts w:hint="eastAsia"/>
                <w:sz w:val="21"/>
                <w:szCs w:val="21"/>
              </w:rPr>
              <w:t>分；</w:t>
            </w:r>
          </w:p>
          <w:p w14:paraId="6D76938D">
            <w:pPr>
              <w:spacing w:line="360" w:lineRule="auto"/>
              <w:rPr>
                <w:sz w:val="21"/>
                <w:szCs w:val="21"/>
              </w:rPr>
            </w:pPr>
            <w:r>
              <w:rPr>
                <w:rFonts w:hint="eastAsia"/>
                <w:sz w:val="21"/>
                <w:szCs w:val="21"/>
              </w:rPr>
              <w:t>方案合理性一般，反应时间较长，未配备专门的应急处理团队，基本满足项目特点和招标文件要求的，得1</w:t>
            </w:r>
            <w:r>
              <w:rPr>
                <w:rFonts w:hint="eastAsia"/>
                <w:sz w:val="21"/>
                <w:szCs w:val="21"/>
                <w:lang w:val="en-US" w:eastAsia="zh-CN"/>
              </w:rPr>
              <w:t>-4</w:t>
            </w:r>
            <w:r>
              <w:rPr>
                <w:rFonts w:hint="eastAsia"/>
                <w:sz w:val="21"/>
                <w:szCs w:val="21"/>
              </w:rPr>
              <w:t>分；</w:t>
            </w:r>
            <w:r>
              <w:rPr>
                <w:sz w:val="21"/>
                <w:szCs w:val="21"/>
              </w:rPr>
              <w:t xml:space="preserve"> </w:t>
            </w:r>
          </w:p>
          <w:p w14:paraId="70E6702E">
            <w:pPr>
              <w:pStyle w:val="24"/>
              <w:ind w:firstLine="0" w:firstLineChars="0"/>
              <w:rPr>
                <w:rFonts w:ascii="宋体" w:hAnsi="宋体" w:cs="宋体"/>
                <w:bCs/>
                <w:szCs w:val="21"/>
              </w:rPr>
            </w:pPr>
            <w:r>
              <w:rPr>
                <w:rFonts w:hint="eastAsia"/>
                <w:sz w:val="21"/>
                <w:szCs w:val="21"/>
              </w:rPr>
              <w:t xml:space="preserve">未提供方案或完全不满足招标文件要求，得0分。 </w:t>
            </w:r>
          </w:p>
        </w:tc>
        <w:tc>
          <w:tcPr>
            <w:tcW w:w="837" w:type="dxa"/>
            <w:tcBorders>
              <w:top w:val="single" w:color="auto" w:sz="4" w:space="0"/>
              <w:left w:val="single" w:color="auto" w:sz="4" w:space="0"/>
              <w:bottom w:val="single" w:color="auto" w:sz="4" w:space="0"/>
              <w:right w:val="single" w:color="auto" w:sz="4" w:space="0"/>
            </w:tcBorders>
            <w:vAlign w:val="center"/>
          </w:tcPr>
          <w:p w14:paraId="6C3966F9">
            <w:pPr>
              <w:widowControl/>
              <w:spacing w:line="360" w:lineRule="auto"/>
              <w:jc w:val="center"/>
              <w:rPr>
                <w:rFonts w:hint="eastAsia" w:ascii="宋体" w:hAnsi="宋体" w:eastAsia="宋体" w:cs="宋体"/>
                <w:szCs w:val="21"/>
                <w:lang w:eastAsia="zh-CN"/>
              </w:rPr>
            </w:pPr>
            <w:r>
              <w:rPr>
                <w:rFonts w:hint="eastAsia" w:ascii="宋体" w:hAnsi="宋体" w:cs="宋体"/>
                <w:kern w:val="0"/>
                <w:szCs w:val="21"/>
              </w:rPr>
              <w:t>0-1</w:t>
            </w:r>
            <w:r>
              <w:rPr>
                <w:rFonts w:hint="eastAsia" w:ascii="宋体" w:hAnsi="宋体" w:cs="宋体"/>
                <w:kern w:val="0"/>
                <w:szCs w:val="21"/>
                <w:lang w:val="en-US" w:eastAsia="zh-CN"/>
              </w:rPr>
              <w:t>0</w:t>
            </w:r>
          </w:p>
        </w:tc>
      </w:tr>
      <w:tr w14:paraId="1B03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14:paraId="04026D0E">
            <w:pPr>
              <w:widowControl/>
              <w:spacing w:line="360" w:lineRule="auto"/>
              <w:ind w:left="420" w:hanging="420"/>
              <w:jc w:val="center"/>
              <w:rPr>
                <w:rFonts w:ascii="宋体" w:hAnsi="宋体" w:cs="宋体"/>
                <w:kern w:val="0"/>
                <w:szCs w:val="21"/>
              </w:rPr>
            </w:pPr>
            <w:r>
              <w:rPr>
                <w:rFonts w:hint="eastAsia" w:ascii="宋体" w:hAnsi="宋体" w:cs="宋体"/>
                <w:b/>
                <w:szCs w:val="21"/>
              </w:rPr>
              <w:t>三、价格部分（10分）</w:t>
            </w:r>
          </w:p>
        </w:tc>
      </w:tr>
      <w:tr w14:paraId="71CF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vAlign w:val="center"/>
          </w:tcPr>
          <w:p w14:paraId="47CF75F9">
            <w:pPr>
              <w:widowControl/>
              <w:spacing w:line="360" w:lineRule="auto"/>
              <w:ind w:left="420" w:hanging="420"/>
              <w:jc w:val="center"/>
              <w:rPr>
                <w:rFonts w:ascii="宋体" w:hAnsi="宋体" w:cs="宋体"/>
                <w:szCs w:val="21"/>
              </w:rPr>
            </w:pPr>
            <w:r>
              <w:rPr>
                <w:rFonts w:hint="eastAsia" w:ascii="宋体" w:hAnsi="宋体" w:cs="宋体"/>
                <w:bCs/>
                <w:szCs w:val="21"/>
              </w:rPr>
              <w:t>3.1</w:t>
            </w:r>
          </w:p>
        </w:tc>
        <w:tc>
          <w:tcPr>
            <w:tcW w:w="6520" w:type="dxa"/>
            <w:tcBorders>
              <w:top w:val="single" w:color="auto" w:sz="4" w:space="0"/>
              <w:left w:val="single" w:color="auto" w:sz="4" w:space="0"/>
              <w:bottom w:val="single" w:color="auto" w:sz="4" w:space="0"/>
              <w:right w:val="single" w:color="auto" w:sz="4" w:space="0"/>
            </w:tcBorders>
            <w:vAlign w:val="center"/>
          </w:tcPr>
          <w:p w14:paraId="2A96D000">
            <w:pPr>
              <w:widowControl/>
              <w:spacing w:line="360" w:lineRule="auto"/>
              <w:rPr>
                <w:rFonts w:ascii="宋体" w:hAnsi="宋体" w:cs="宋体"/>
                <w:szCs w:val="21"/>
              </w:rPr>
            </w:pPr>
            <w:r>
              <w:rPr>
                <w:rFonts w:hint="eastAsia" w:ascii="宋体" w:hAnsi="宋体" w:cs="宋体"/>
                <w:szCs w:val="21"/>
              </w:rPr>
              <w:t>综合评分法中的价格分统一采用低价优先法计算，即满足遴选文件要求且响应价格最低的评审价为评标基准价，其价格分为满分。其他供应商的价格分统一按照下列公式计算：价格得分＝（评标基准价/响应报价）×10。</w:t>
            </w:r>
          </w:p>
        </w:tc>
        <w:tc>
          <w:tcPr>
            <w:tcW w:w="837" w:type="dxa"/>
            <w:tcBorders>
              <w:top w:val="single" w:color="auto" w:sz="4" w:space="0"/>
              <w:left w:val="single" w:color="auto" w:sz="4" w:space="0"/>
              <w:bottom w:val="single" w:color="auto" w:sz="4" w:space="0"/>
              <w:right w:val="single" w:color="auto" w:sz="4" w:space="0"/>
            </w:tcBorders>
            <w:vAlign w:val="center"/>
          </w:tcPr>
          <w:p w14:paraId="253AD5C8">
            <w:pPr>
              <w:widowControl/>
              <w:spacing w:line="360" w:lineRule="auto"/>
              <w:ind w:left="420" w:hanging="420"/>
              <w:jc w:val="center"/>
              <w:rPr>
                <w:rFonts w:ascii="宋体" w:hAnsi="宋体" w:cs="宋体"/>
                <w:kern w:val="0"/>
                <w:szCs w:val="21"/>
              </w:rPr>
            </w:pPr>
            <w:r>
              <w:rPr>
                <w:rFonts w:hint="eastAsia" w:ascii="宋体" w:hAnsi="宋体" w:cs="宋体"/>
                <w:szCs w:val="21"/>
              </w:rPr>
              <w:t>0-10</w:t>
            </w:r>
          </w:p>
        </w:tc>
      </w:tr>
    </w:tbl>
    <w:p w14:paraId="2ABE322A">
      <w:pPr>
        <w:spacing w:line="360" w:lineRule="auto"/>
        <w:ind w:firstLine="420" w:firstLineChars="200"/>
        <w:rPr>
          <w:rFonts w:ascii="宋体" w:hAnsi="宋体"/>
          <w:szCs w:val="21"/>
        </w:rPr>
      </w:pPr>
    </w:p>
    <w:p w14:paraId="74977925">
      <w:pPr>
        <w:pStyle w:val="39"/>
        <w:numPr>
          <w:ilvl w:val="0"/>
          <w:numId w:val="5"/>
        </w:numPr>
        <w:spacing w:line="360" w:lineRule="auto"/>
        <w:ind w:left="0" w:firstLine="0" w:firstLineChars="0"/>
        <w:jc w:val="center"/>
        <w:outlineLvl w:val="0"/>
        <w:rPr>
          <w:rFonts w:ascii="宋体" w:hAnsi="宋体"/>
          <w:b/>
          <w:szCs w:val="21"/>
        </w:rPr>
      </w:pPr>
      <w:bookmarkStart w:id="180" w:name="_Toc16218"/>
      <w:bookmarkStart w:id="181" w:name="_Toc30215"/>
      <w:bookmarkStart w:id="182" w:name="_Toc19407"/>
      <w:bookmarkStart w:id="183" w:name="_Toc17477"/>
      <w:r>
        <w:rPr>
          <w:rFonts w:hint="eastAsia" w:ascii="宋体" w:hAnsi="宋体"/>
          <w:b/>
          <w:szCs w:val="21"/>
        </w:rPr>
        <w:t>成交</w:t>
      </w:r>
      <w:bookmarkEnd w:id="180"/>
      <w:bookmarkEnd w:id="181"/>
      <w:bookmarkEnd w:id="182"/>
      <w:bookmarkEnd w:id="183"/>
    </w:p>
    <w:p w14:paraId="64FF6122">
      <w:pPr>
        <w:pStyle w:val="39"/>
        <w:numPr>
          <w:ilvl w:val="0"/>
          <w:numId w:val="6"/>
        </w:numPr>
        <w:spacing w:line="360" w:lineRule="auto"/>
        <w:ind w:firstLineChars="0"/>
        <w:rPr>
          <w:rFonts w:ascii="宋体" w:hAnsi="宋体"/>
          <w:b/>
          <w:bCs/>
          <w:szCs w:val="21"/>
        </w:rPr>
      </w:pPr>
      <w:bookmarkStart w:id="184" w:name="_Toc407613212"/>
      <w:bookmarkStart w:id="185" w:name="_Toc406595828"/>
      <w:bookmarkStart w:id="186" w:name="_Toc17393007"/>
      <w:bookmarkStart w:id="187" w:name="_Toc17392471"/>
      <w:bookmarkStart w:id="188" w:name="_Toc407612843"/>
      <w:bookmarkStart w:id="189" w:name="_Toc509224170"/>
      <w:bookmarkStart w:id="190" w:name="_Toc5600"/>
      <w:bookmarkStart w:id="191" w:name="_Toc120707468"/>
      <w:bookmarkStart w:id="192" w:name="_Toc440288454"/>
      <w:r>
        <w:rPr>
          <w:rFonts w:hint="eastAsia" w:ascii="宋体" w:hAnsi="宋体"/>
          <w:b/>
          <w:bCs/>
          <w:szCs w:val="21"/>
        </w:rPr>
        <w:t>成交准则</w:t>
      </w:r>
      <w:bookmarkEnd w:id="184"/>
      <w:bookmarkEnd w:id="185"/>
      <w:bookmarkEnd w:id="186"/>
      <w:bookmarkEnd w:id="187"/>
      <w:bookmarkEnd w:id="188"/>
      <w:bookmarkEnd w:id="189"/>
      <w:bookmarkEnd w:id="190"/>
      <w:bookmarkEnd w:id="191"/>
      <w:bookmarkEnd w:id="192"/>
    </w:p>
    <w:p w14:paraId="17BD4131">
      <w:pPr>
        <w:pStyle w:val="39"/>
        <w:numPr>
          <w:ilvl w:val="1"/>
          <w:numId w:val="6"/>
        </w:numPr>
        <w:spacing w:line="360" w:lineRule="auto"/>
        <w:ind w:firstLineChars="0"/>
        <w:rPr>
          <w:rFonts w:ascii="宋体" w:hAnsi="宋体"/>
          <w:bCs/>
          <w:szCs w:val="21"/>
        </w:rPr>
      </w:pPr>
      <w:bookmarkStart w:id="193" w:name="_Toc509224171"/>
      <w:bookmarkStart w:id="194" w:name="_Toc17393008"/>
      <w:bookmarkStart w:id="195" w:name="_Toc17392472"/>
      <w:bookmarkStart w:id="196" w:name="_Toc407613213"/>
      <w:bookmarkStart w:id="197" w:name="_Toc407612844"/>
      <w:bookmarkStart w:id="198" w:name="_Toc406595829"/>
      <w:bookmarkStart w:id="199" w:name="_Toc13164"/>
      <w:bookmarkStart w:id="200" w:name="_Toc440288455"/>
      <w:bookmarkStart w:id="201" w:name="_Toc120707469"/>
      <w:r>
        <w:rPr>
          <w:rFonts w:hint="eastAsia" w:ascii="宋体" w:hAnsi="宋体"/>
          <w:bCs/>
          <w:szCs w:val="21"/>
        </w:rPr>
        <w:t>采购人将把合同授予被确定为实质上响应遴选文件的要求并有履行合同能力和意愿的综合得分最高的供应商。</w:t>
      </w:r>
      <w:bookmarkEnd w:id="193"/>
      <w:bookmarkEnd w:id="194"/>
      <w:bookmarkEnd w:id="195"/>
      <w:bookmarkEnd w:id="196"/>
      <w:bookmarkEnd w:id="197"/>
      <w:bookmarkEnd w:id="198"/>
      <w:bookmarkEnd w:id="199"/>
      <w:bookmarkEnd w:id="200"/>
      <w:bookmarkEnd w:id="201"/>
    </w:p>
    <w:p w14:paraId="63215A88">
      <w:pPr>
        <w:pStyle w:val="39"/>
        <w:numPr>
          <w:ilvl w:val="1"/>
          <w:numId w:val="6"/>
        </w:numPr>
        <w:spacing w:line="360" w:lineRule="auto"/>
        <w:ind w:firstLineChars="0"/>
        <w:rPr>
          <w:rFonts w:ascii="宋体" w:hAnsi="宋体"/>
          <w:bCs/>
          <w:szCs w:val="21"/>
        </w:rPr>
      </w:pPr>
      <w:bookmarkStart w:id="202" w:name="_Toc509224173"/>
      <w:bookmarkStart w:id="203" w:name="_Toc120707470"/>
      <w:bookmarkStart w:id="204" w:name="_Toc17393009"/>
      <w:bookmarkStart w:id="205" w:name="_Toc406595831"/>
      <w:bookmarkStart w:id="206" w:name="_Toc440288457"/>
      <w:bookmarkStart w:id="207" w:name="_Toc407613215"/>
      <w:bookmarkStart w:id="208" w:name="_Toc407612846"/>
      <w:bookmarkStart w:id="209" w:name="_Toc17392473"/>
      <w:bookmarkStart w:id="210" w:name="_Toc23139"/>
      <w:r>
        <w:rPr>
          <w:rFonts w:ascii="宋体" w:hAnsi="宋体"/>
          <w:szCs w:val="21"/>
        </w:rPr>
        <w:t>排名第一的供应商放弃成交、因不可抗力不能履行合同或者被查实存在影响</w:t>
      </w:r>
      <w:r>
        <w:rPr>
          <w:rFonts w:hint="eastAsia" w:ascii="宋体" w:hAnsi="宋体"/>
          <w:szCs w:val="21"/>
        </w:rPr>
        <w:t>成交</w:t>
      </w:r>
      <w:r>
        <w:rPr>
          <w:rFonts w:ascii="宋体" w:hAnsi="宋体"/>
          <w:szCs w:val="21"/>
        </w:rPr>
        <w:t>结果的违法行为等情形，不符合成交条件的，采购人可以按照评审委员会提出的候选人名单排序依次确定其他</w:t>
      </w:r>
      <w:r>
        <w:rPr>
          <w:rFonts w:hint="eastAsia" w:ascii="宋体" w:hAnsi="宋体"/>
          <w:szCs w:val="21"/>
        </w:rPr>
        <w:t>成交</w:t>
      </w:r>
      <w:r>
        <w:rPr>
          <w:rFonts w:ascii="宋体" w:hAnsi="宋体"/>
          <w:szCs w:val="21"/>
        </w:rPr>
        <w:t>候选人为成交供应商</w:t>
      </w:r>
      <w:r>
        <w:rPr>
          <w:rFonts w:hint="eastAsia" w:ascii="宋体" w:hAnsi="宋体"/>
          <w:szCs w:val="21"/>
        </w:rPr>
        <w:t>。</w:t>
      </w:r>
      <w:bookmarkEnd w:id="202"/>
      <w:bookmarkEnd w:id="203"/>
      <w:bookmarkEnd w:id="204"/>
      <w:bookmarkEnd w:id="205"/>
      <w:bookmarkEnd w:id="206"/>
      <w:bookmarkEnd w:id="207"/>
      <w:bookmarkEnd w:id="208"/>
      <w:bookmarkEnd w:id="209"/>
      <w:bookmarkEnd w:id="210"/>
    </w:p>
    <w:p w14:paraId="7540CFBE">
      <w:pPr>
        <w:numPr>
          <w:ilvl w:val="1"/>
          <w:numId w:val="6"/>
        </w:numPr>
        <w:spacing w:line="360" w:lineRule="auto"/>
        <w:rPr>
          <w:rFonts w:ascii="宋体" w:hAnsi="宋体"/>
          <w:bCs/>
          <w:szCs w:val="21"/>
        </w:rPr>
      </w:pPr>
      <w:r>
        <w:rPr>
          <w:rFonts w:hint="eastAsia" w:ascii="宋体" w:hAnsi="宋体"/>
          <w:bCs/>
          <w:szCs w:val="21"/>
        </w:rPr>
        <w:t>通过初步审核的供应商应不少于3家，否则终止本次遴选程序。</w:t>
      </w:r>
    </w:p>
    <w:p w14:paraId="40FA72A8">
      <w:pPr>
        <w:spacing w:line="360" w:lineRule="auto"/>
        <w:rPr>
          <w:rFonts w:ascii="宋体" w:hAnsi="宋体"/>
          <w:bCs/>
          <w:szCs w:val="21"/>
        </w:rPr>
      </w:pPr>
    </w:p>
    <w:p w14:paraId="56388558">
      <w:pPr>
        <w:pStyle w:val="39"/>
        <w:numPr>
          <w:ilvl w:val="0"/>
          <w:numId w:val="5"/>
        </w:numPr>
        <w:spacing w:line="360" w:lineRule="auto"/>
        <w:ind w:left="0" w:firstLine="0" w:firstLineChars="0"/>
        <w:jc w:val="center"/>
        <w:outlineLvl w:val="0"/>
        <w:rPr>
          <w:rFonts w:ascii="宋体" w:hAnsi="宋体"/>
          <w:b/>
          <w:szCs w:val="21"/>
        </w:rPr>
      </w:pPr>
      <w:bookmarkStart w:id="211" w:name="_Toc2487"/>
      <w:bookmarkStart w:id="212" w:name="_Toc32217"/>
      <w:bookmarkStart w:id="213" w:name="_Toc7996"/>
      <w:bookmarkStart w:id="214" w:name="_Toc9654"/>
      <w:r>
        <w:rPr>
          <w:rFonts w:hint="eastAsia" w:ascii="宋体" w:hAnsi="宋体"/>
          <w:b/>
          <w:szCs w:val="21"/>
        </w:rPr>
        <w:t>其他</w:t>
      </w:r>
      <w:bookmarkEnd w:id="211"/>
      <w:bookmarkEnd w:id="212"/>
      <w:bookmarkEnd w:id="213"/>
      <w:bookmarkEnd w:id="214"/>
    </w:p>
    <w:p w14:paraId="26CC7B8B">
      <w:pPr>
        <w:pStyle w:val="39"/>
        <w:numPr>
          <w:ilvl w:val="0"/>
          <w:numId w:val="6"/>
        </w:numPr>
        <w:spacing w:line="360" w:lineRule="auto"/>
        <w:ind w:firstLineChars="0"/>
        <w:rPr>
          <w:rFonts w:ascii="宋体" w:hAnsi="宋体"/>
          <w:b/>
          <w:bCs/>
          <w:szCs w:val="21"/>
        </w:rPr>
      </w:pPr>
      <w:bookmarkStart w:id="215" w:name="_Toc17620"/>
      <w:r>
        <w:rPr>
          <w:rFonts w:ascii="宋体" w:hAnsi="宋体"/>
          <w:b/>
          <w:bCs/>
          <w:szCs w:val="21"/>
        </w:rPr>
        <w:t>代理费</w:t>
      </w:r>
      <w:bookmarkEnd w:id="215"/>
    </w:p>
    <w:p w14:paraId="142E30EC">
      <w:pPr>
        <w:pStyle w:val="39"/>
        <w:spacing w:line="360" w:lineRule="auto"/>
        <w:ind w:left="840" w:leftChars="400" w:firstLine="0" w:firstLineChars="0"/>
        <w:outlineLvl w:val="0"/>
        <w:rPr>
          <w:rFonts w:ascii="宋体" w:hAnsi="宋体"/>
          <w:b/>
          <w:sz w:val="44"/>
          <w:szCs w:val="44"/>
        </w:rPr>
      </w:pPr>
      <w:bookmarkStart w:id="216" w:name="_Toc9896"/>
      <w:bookmarkStart w:id="217" w:name="_Toc18307"/>
      <w:bookmarkStart w:id="218" w:name="_Toc15433"/>
      <w:r>
        <w:rPr>
          <w:rFonts w:hint="eastAsia" w:ascii="宋体" w:hAnsi="宋体"/>
          <w:bCs/>
          <w:szCs w:val="21"/>
          <w:lang w:val="en-US" w:eastAsia="zh-CN"/>
        </w:rPr>
        <w:t>代理费参照原《招标代理服务收费管理暂行办法》（计价格〔2002〕1980号）、国家发展改革委办公厅关于招标代理服务收费有关问题的通知》（发改办价格〔2003〕857号）的规定，本项目的成交供应商应在成交通知书发出的同时一次性向招标代理机构支付代理服务费。</w:t>
      </w:r>
      <w:bookmarkEnd w:id="216"/>
      <w:bookmarkEnd w:id="217"/>
      <w:bookmarkEnd w:id="218"/>
    </w:p>
    <w:p w14:paraId="1EA5B333">
      <w:pPr>
        <w:pStyle w:val="39"/>
        <w:spacing w:line="360" w:lineRule="auto"/>
        <w:ind w:firstLine="0" w:firstLineChars="0"/>
        <w:outlineLvl w:val="0"/>
        <w:rPr>
          <w:rFonts w:ascii="宋体" w:hAnsi="宋体"/>
          <w:b/>
          <w:sz w:val="44"/>
          <w:szCs w:val="44"/>
        </w:rPr>
      </w:pPr>
    </w:p>
    <w:p w14:paraId="456E7197">
      <w:pPr>
        <w:rPr>
          <w:rFonts w:ascii="宋体" w:hAnsi="宋体"/>
          <w:b/>
          <w:sz w:val="44"/>
          <w:szCs w:val="44"/>
        </w:rPr>
      </w:pPr>
      <w:r>
        <w:rPr>
          <w:rFonts w:hint="eastAsia" w:ascii="宋体" w:hAnsi="宋体"/>
          <w:b/>
          <w:sz w:val="44"/>
          <w:szCs w:val="44"/>
        </w:rPr>
        <w:br w:type="page"/>
      </w:r>
    </w:p>
    <w:p w14:paraId="4E95F9F8">
      <w:pPr>
        <w:pStyle w:val="39"/>
        <w:spacing w:line="360" w:lineRule="auto"/>
        <w:ind w:firstLine="0" w:firstLineChars="0"/>
        <w:outlineLvl w:val="0"/>
        <w:rPr>
          <w:rFonts w:ascii="宋体" w:hAnsi="宋体"/>
          <w:b/>
          <w:sz w:val="44"/>
          <w:szCs w:val="44"/>
        </w:rPr>
      </w:pPr>
    </w:p>
    <w:p w14:paraId="463C8993">
      <w:pPr>
        <w:pStyle w:val="39"/>
        <w:spacing w:line="360" w:lineRule="auto"/>
        <w:ind w:firstLine="0" w:firstLineChars="0"/>
        <w:outlineLvl w:val="0"/>
        <w:rPr>
          <w:rFonts w:ascii="宋体" w:hAnsi="宋体"/>
          <w:b/>
          <w:sz w:val="44"/>
          <w:szCs w:val="44"/>
        </w:rPr>
      </w:pPr>
    </w:p>
    <w:p w14:paraId="27E4138A">
      <w:pPr>
        <w:pStyle w:val="39"/>
        <w:spacing w:line="360" w:lineRule="auto"/>
        <w:ind w:firstLine="0" w:firstLineChars="0"/>
        <w:outlineLvl w:val="0"/>
        <w:rPr>
          <w:rFonts w:ascii="宋体" w:hAnsi="宋体"/>
          <w:b/>
          <w:sz w:val="44"/>
          <w:szCs w:val="44"/>
        </w:rPr>
      </w:pPr>
    </w:p>
    <w:p w14:paraId="2F7F6A0C">
      <w:pPr>
        <w:pStyle w:val="39"/>
        <w:spacing w:line="360" w:lineRule="auto"/>
        <w:ind w:firstLine="0" w:firstLineChars="0"/>
        <w:outlineLvl w:val="0"/>
        <w:rPr>
          <w:rFonts w:ascii="宋体" w:hAnsi="宋体"/>
          <w:b/>
          <w:sz w:val="44"/>
          <w:szCs w:val="44"/>
        </w:rPr>
      </w:pPr>
    </w:p>
    <w:p w14:paraId="6DCB13B7">
      <w:pPr>
        <w:pStyle w:val="39"/>
        <w:spacing w:line="360" w:lineRule="auto"/>
        <w:ind w:firstLine="0" w:firstLineChars="0"/>
        <w:outlineLvl w:val="0"/>
        <w:rPr>
          <w:rFonts w:ascii="宋体" w:hAnsi="宋体"/>
          <w:b/>
          <w:sz w:val="44"/>
          <w:szCs w:val="44"/>
        </w:rPr>
      </w:pPr>
    </w:p>
    <w:p w14:paraId="3B19F4D7">
      <w:pPr>
        <w:pStyle w:val="39"/>
        <w:spacing w:line="360" w:lineRule="auto"/>
        <w:ind w:firstLine="0" w:firstLineChars="0"/>
        <w:outlineLvl w:val="0"/>
        <w:rPr>
          <w:rFonts w:ascii="宋体" w:hAnsi="宋体"/>
          <w:b/>
          <w:sz w:val="44"/>
          <w:szCs w:val="44"/>
        </w:rPr>
      </w:pPr>
    </w:p>
    <w:p w14:paraId="6D964CAA">
      <w:pPr>
        <w:pStyle w:val="39"/>
        <w:numPr>
          <w:ilvl w:val="0"/>
          <w:numId w:val="1"/>
        </w:numPr>
        <w:spacing w:line="360" w:lineRule="auto"/>
        <w:ind w:left="1276" w:hanging="1276" w:firstLineChars="0"/>
        <w:jc w:val="center"/>
        <w:outlineLvl w:val="0"/>
        <w:rPr>
          <w:rFonts w:ascii="宋体" w:hAnsi="宋体"/>
          <w:b/>
          <w:sz w:val="44"/>
          <w:szCs w:val="44"/>
        </w:rPr>
      </w:pPr>
      <w:bookmarkStart w:id="219" w:name="_Toc2360"/>
      <w:r>
        <w:rPr>
          <w:rFonts w:hint="eastAsia" w:ascii="宋体" w:hAnsi="宋体"/>
          <w:b/>
          <w:sz w:val="44"/>
          <w:szCs w:val="44"/>
          <w:lang w:val="en-US" w:eastAsia="zh-CN"/>
        </w:rPr>
        <w:t>技术</w:t>
      </w:r>
      <w:r>
        <w:rPr>
          <w:rFonts w:hint="eastAsia" w:ascii="宋体" w:hAnsi="宋体"/>
          <w:b/>
          <w:sz w:val="44"/>
          <w:szCs w:val="44"/>
        </w:rPr>
        <w:t>要求</w:t>
      </w:r>
      <w:bookmarkEnd w:id="219"/>
    </w:p>
    <w:p w14:paraId="190CA9DD">
      <w:pPr>
        <w:spacing w:line="360" w:lineRule="auto"/>
        <w:ind w:firstLine="420" w:firstLineChars="200"/>
        <w:rPr>
          <w:rFonts w:ascii="宋体" w:hAnsi="宋体"/>
          <w:szCs w:val="21"/>
          <w:highlight w:val="yellow"/>
        </w:rPr>
      </w:pPr>
      <w:r>
        <w:rPr>
          <w:rFonts w:ascii="宋体" w:hAnsi="宋体"/>
          <w:szCs w:val="21"/>
          <w:highlight w:val="yellow"/>
        </w:rPr>
        <w:br w:type="page"/>
      </w:r>
    </w:p>
    <w:p w14:paraId="15D2B059">
      <w:pPr>
        <w:widowControl/>
        <w:kinsoku w:val="0"/>
        <w:autoSpaceDE w:val="0"/>
        <w:autoSpaceDN w:val="0"/>
        <w:adjustRightInd w:val="0"/>
        <w:snapToGrid w:val="0"/>
        <w:spacing w:line="360" w:lineRule="auto"/>
        <w:ind w:firstLine="422" w:firstLineChars="200"/>
        <w:textAlignment w:val="baseline"/>
        <w:rPr>
          <w:rFonts w:ascii="宋体" w:hAnsi="宋体" w:cs="宋体"/>
          <w:b/>
          <w:bCs/>
          <w:szCs w:val="21"/>
        </w:rPr>
      </w:pPr>
      <w:r>
        <w:rPr>
          <w:rFonts w:hint="eastAsia" w:ascii="宋体" w:hAnsi="宋体" w:cs="宋体"/>
          <w:b/>
          <w:bCs/>
          <w:szCs w:val="21"/>
        </w:rPr>
        <w:t>一、改制自收自支事业单位补充医疗保险项目需求</w:t>
      </w:r>
    </w:p>
    <w:p w14:paraId="36AC873C">
      <w:pPr>
        <w:widowControl/>
        <w:kinsoku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截止2024年12月，服务人数为104人。</w:t>
      </w:r>
    </w:p>
    <w:p w14:paraId="67272931">
      <w:pPr>
        <w:widowControl/>
        <w:kinsoku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提供以下服务：</w:t>
      </w:r>
    </w:p>
    <w:p w14:paraId="48FF9F07">
      <w:pPr>
        <w:widowControl/>
        <w:kinsoku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1、在加入北京市基本医疗保险后，通过投保补充医疗保险来降低员参保人员的医疗费用负担，提供保险手册。</w:t>
      </w:r>
    </w:p>
    <w:p w14:paraId="7A74B661">
      <w:pPr>
        <w:widowControl/>
        <w:kinsoku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2、随时为客户提供上门理赔服务、现场服务和保险相关的咨询服务。</w:t>
      </w:r>
    </w:p>
    <w:p w14:paraId="5501DE1F">
      <w:pPr>
        <w:widowControl/>
        <w:kinsoku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3、在保险期间内的固定服务部门和人员，如有变动及时告知。</w:t>
      </w:r>
    </w:p>
    <w:p w14:paraId="51B98A58">
      <w:pPr>
        <w:widowControl/>
        <w:kinsoku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4、被保险人有异议时要提供相关解释及核查单据等服务工作。</w:t>
      </w:r>
    </w:p>
    <w:p w14:paraId="0BAAA741">
      <w:pPr>
        <w:widowControl/>
        <w:kinsoku w:val="0"/>
        <w:autoSpaceDE w:val="0"/>
        <w:autoSpaceDN w:val="0"/>
        <w:adjustRightInd w:val="0"/>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5、如被保险人需要理赔的材料或证明要积极配合。</w:t>
      </w:r>
    </w:p>
    <w:p w14:paraId="56F03375">
      <w:pPr>
        <w:widowControl/>
        <w:kinsoku w:val="0"/>
        <w:autoSpaceDE w:val="0"/>
        <w:autoSpaceDN w:val="0"/>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6、保证服务质量，保证按月及时准确的支付保险金。</w:t>
      </w:r>
    </w:p>
    <w:p w14:paraId="512554A9">
      <w:pPr>
        <w:rPr>
          <w:rFonts w:ascii="宋体" w:hAnsi="宋体" w:cs="宋体"/>
          <w:sz w:val="24"/>
          <w:szCs w:val="24"/>
        </w:rPr>
      </w:pPr>
      <w:r>
        <w:rPr>
          <w:rFonts w:hint="eastAsia" w:ascii="宋体" w:hAnsi="宋体" w:cs="宋体"/>
          <w:sz w:val="24"/>
          <w:szCs w:val="24"/>
        </w:rPr>
        <w:br w:type="page"/>
      </w:r>
    </w:p>
    <w:p w14:paraId="1EB63F5A">
      <w:pPr>
        <w:jc w:val="center"/>
        <w:rPr>
          <w:rFonts w:ascii="宋体" w:hAnsi="宋体"/>
          <w:color w:val="000000" w:themeColor="text1"/>
          <w:sz w:val="36"/>
          <w:szCs w:val="36"/>
          <w14:textFill>
            <w14:solidFill>
              <w14:schemeClr w14:val="tx1"/>
            </w14:solidFill>
          </w14:textFill>
        </w:rPr>
      </w:pPr>
    </w:p>
    <w:p w14:paraId="71DB9334">
      <w:pPr>
        <w:jc w:val="center"/>
        <w:rPr>
          <w:rFonts w:ascii="宋体" w:hAnsi="宋体"/>
          <w:color w:val="000000" w:themeColor="text1"/>
          <w:sz w:val="36"/>
          <w:szCs w:val="36"/>
          <w14:textFill>
            <w14:solidFill>
              <w14:schemeClr w14:val="tx1"/>
            </w14:solidFill>
          </w14:textFill>
        </w:rPr>
      </w:pPr>
    </w:p>
    <w:p w14:paraId="00168735">
      <w:pPr>
        <w:jc w:val="center"/>
        <w:rPr>
          <w:rFonts w:ascii="宋体" w:hAnsi="宋体"/>
          <w:color w:val="000000" w:themeColor="text1"/>
          <w:sz w:val="36"/>
          <w:szCs w:val="36"/>
          <w14:textFill>
            <w14:solidFill>
              <w14:schemeClr w14:val="tx1"/>
            </w14:solidFill>
          </w14:textFill>
        </w:rPr>
      </w:pPr>
    </w:p>
    <w:p w14:paraId="7EFD96DE">
      <w:pPr>
        <w:jc w:val="center"/>
        <w:rPr>
          <w:rFonts w:ascii="宋体" w:hAnsi="宋体"/>
          <w:color w:val="000000" w:themeColor="text1"/>
          <w:sz w:val="36"/>
          <w:szCs w:val="36"/>
          <w14:textFill>
            <w14:solidFill>
              <w14:schemeClr w14:val="tx1"/>
            </w14:solidFill>
          </w14:textFill>
        </w:rPr>
      </w:pPr>
    </w:p>
    <w:p w14:paraId="6A22093C">
      <w:pPr>
        <w:jc w:val="center"/>
        <w:rPr>
          <w:rFonts w:ascii="宋体" w:hAnsi="宋体"/>
          <w:color w:val="000000" w:themeColor="text1"/>
          <w:sz w:val="36"/>
          <w:szCs w:val="36"/>
          <w14:textFill>
            <w14:solidFill>
              <w14:schemeClr w14:val="tx1"/>
            </w14:solidFill>
          </w14:textFill>
        </w:rPr>
      </w:pPr>
    </w:p>
    <w:p w14:paraId="4AF7BE40">
      <w:pPr>
        <w:pStyle w:val="39"/>
        <w:numPr>
          <w:ilvl w:val="0"/>
          <w:numId w:val="1"/>
        </w:numPr>
        <w:spacing w:line="360" w:lineRule="auto"/>
        <w:ind w:left="1276" w:hanging="1276" w:firstLineChars="0"/>
        <w:jc w:val="center"/>
        <w:outlineLvl w:val="0"/>
        <w:rPr>
          <w:rFonts w:ascii="宋体" w:hAnsi="宋体"/>
          <w:b/>
          <w:sz w:val="44"/>
          <w:szCs w:val="44"/>
        </w:rPr>
      </w:pPr>
      <w:bookmarkStart w:id="220" w:name="_Toc27732"/>
      <w:r>
        <w:rPr>
          <w:rFonts w:hint="eastAsia" w:ascii="宋体" w:hAnsi="宋体"/>
          <w:b/>
          <w:sz w:val="44"/>
          <w:szCs w:val="44"/>
          <w:lang w:val="en-US" w:eastAsia="zh-CN"/>
        </w:rPr>
        <w:t>合同文本</w:t>
      </w:r>
      <w:bookmarkEnd w:id="220"/>
    </w:p>
    <w:p w14:paraId="4C21DC65">
      <w:pPr>
        <w:jc w:val="center"/>
        <w:rPr>
          <w:rFonts w:ascii="宋体" w:hAnsi="宋体"/>
          <w:color w:val="000000" w:themeColor="text1"/>
          <w:sz w:val="36"/>
          <w:szCs w:val="36"/>
          <w14:textFill>
            <w14:solidFill>
              <w14:schemeClr w14:val="tx1"/>
            </w14:solidFill>
          </w14:textFill>
        </w:rPr>
      </w:pPr>
    </w:p>
    <w:p w14:paraId="3D8E0CF7">
      <w:pPr>
        <w:jc w:val="center"/>
        <w:rPr>
          <w:rFonts w:ascii="宋体" w:hAnsi="宋体"/>
          <w:color w:val="000000" w:themeColor="text1"/>
          <w:sz w:val="36"/>
          <w:szCs w:val="36"/>
          <w14:textFill>
            <w14:solidFill>
              <w14:schemeClr w14:val="tx1"/>
            </w14:solidFill>
          </w14:textFill>
        </w:rPr>
      </w:pPr>
    </w:p>
    <w:p w14:paraId="50D194D8">
      <w:pPr>
        <w:jc w:val="center"/>
        <w:rPr>
          <w:rFonts w:ascii="宋体" w:hAnsi="宋体"/>
          <w:color w:val="000000" w:themeColor="text1"/>
          <w:sz w:val="36"/>
          <w:szCs w:val="36"/>
          <w14:textFill>
            <w14:solidFill>
              <w14:schemeClr w14:val="tx1"/>
            </w14:solidFill>
          </w14:textFill>
        </w:rPr>
      </w:pPr>
    </w:p>
    <w:p w14:paraId="2B544ADA">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color w:val="000000"/>
          <w:sz w:val="21"/>
          <w:szCs w:val="21"/>
        </w:rPr>
      </w:pPr>
      <w:r>
        <w:rPr>
          <w:rFonts w:ascii="宋体" w:hAnsi="宋体"/>
          <w:sz w:val="36"/>
          <w:szCs w:val="36"/>
        </w:rPr>
        <w:br w:type="page"/>
      </w:r>
      <w:r>
        <w:rPr>
          <w:rFonts w:hint="eastAsia" w:asciiTheme="minorEastAsia" w:hAnsiTheme="minorEastAsia" w:eastAsiaTheme="minorEastAsia" w:cstheme="minorEastAsia"/>
          <w:b/>
          <w:sz w:val="21"/>
          <w:szCs w:val="21"/>
        </w:rPr>
        <w:t>团体综合补充医疗保险业务合作协议</w:t>
      </w:r>
    </w:p>
    <w:p w14:paraId="33A2ADF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bCs/>
          <w:color w:val="000000"/>
          <w:sz w:val="21"/>
          <w:szCs w:val="21"/>
        </w:rPr>
      </w:pPr>
    </w:p>
    <w:p w14:paraId="789D726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bCs/>
          <w:color w:val="000000"/>
          <w:sz w:val="21"/>
          <w:szCs w:val="21"/>
          <w:u w:val="single"/>
        </w:rPr>
      </w:pPr>
      <w:r>
        <w:rPr>
          <w:rFonts w:hint="eastAsia" w:asciiTheme="minorEastAsia" w:hAnsiTheme="minorEastAsia" w:eastAsiaTheme="minorEastAsia" w:cstheme="minorEastAsia"/>
          <w:b/>
          <w:bCs/>
          <w:color w:val="000000"/>
          <w:sz w:val="21"/>
          <w:szCs w:val="21"/>
        </w:rPr>
        <w:t>投保人（甲方）：</w:t>
      </w:r>
      <w:r>
        <w:rPr>
          <w:rFonts w:hint="eastAsia" w:asciiTheme="minorEastAsia" w:hAnsiTheme="minorEastAsia" w:eastAsiaTheme="minorEastAsia" w:cstheme="minorEastAsia"/>
          <w:b/>
          <w:bCs/>
          <w:color w:val="000000"/>
          <w:sz w:val="21"/>
          <w:szCs w:val="21"/>
          <w:u w:val="single"/>
        </w:rPr>
        <w:t xml:space="preserve"> 北京市文化和旅游局综合事务中心       </w:t>
      </w:r>
      <w:r>
        <w:rPr>
          <w:rFonts w:hint="eastAsia" w:asciiTheme="minorEastAsia" w:hAnsiTheme="minorEastAsia" w:eastAsiaTheme="minorEastAsia" w:cstheme="minorEastAsia"/>
          <w:b/>
          <w:bCs/>
          <w:color w:val="000000"/>
          <w:sz w:val="21"/>
          <w:szCs w:val="21"/>
          <w:u w:val="single"/>
          <w:lang w:val="en-US" w:eastAsia="zh-CN"/>
        </w:rPr>
        <w:t xml:space="preserve"> </w:t>
      </w:r>
      <w:r>
        <w:rPr>
          <w:rFonts w:hint="eastAsia" w:asciiTheme="minorEastAsia" w:hAnsiTheme="minorEastAsia" w:eastAsiaTheme="minorEastAsia" w:cstheme="minorEastAsia"/>
          <w:b/>
          <w:bCs/>
          <w:color w:val="000000"/>
          <w:sz w:val="21"/>
          <w:szCs w:val="21"/>
          <w:u w:val="single"/>
        </w:rPr>
        <w:t xml:space="preserve">   </w:t>
      </w:r>
    </w:p>
    <w:p w14:paraId="18A7083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bCs/>
          <w:color w:val="000000"/>
          <w:sz w:val="21"/>
          <w:szCs w:val="21"/>
        </w:rPr>
      </w:pPr>
    </w:p>
    <w:p w14:paraId="5136AC6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bCs/>
          <w:color w:val="000000"/>
          <w:sz w:val="21"/>
          <w:szCs w:val="21"/>
          <w:u w:val="single"/>
        </w:rPr>
      </w:pPr>
      <w:r>
        <w:rPr>
          <w:rFonts w:hint="eastAsia" w:asciiTheme="minorEastAsia" w:hAnsiTheme="minorEastAsia" w:eastAsiaTheme="minorEastAsia" w:cstheme="minorEastAsia"/>
          <w:b/>
          <w:bCs/>
          <w:color w:val="000000"/>
          <w:sz w:val="21"/>
          <w:szCs w:val="21"/>
        </w:rPr>
        <w:t>保险人（乙方）：</w:t>
      </w:r>
      <w:r>
        <w:rPr>
          <w:rFonts w:hint="eastAsia" w:asciiTheme="minorEastAsia" w:hAnsiTheme="minorEastAsia" w:eastAsiaTheme="minorEastAsia" w:cstheme="minorEastAsia"/>
          <w:b/>
          <w:bCs/>
          <w:color w:val="000000"/>
          <w:sz w:val="21"/>
          <w:szCs w:val="21"/>
          <w:u w:val="single"/>
        </w:rPr>
        <w:t xml:space="preserve">  </w:t>
      </w:r>
      <w:r>
        <w:rPr>
          <w:rFonts w:hint="eastAsia" w:asciiTheme="minorEastAsia" w:hAnsiTheme="minorEastAsia" w:eastAsiaTheme="minorEastAsia" w:cstheme="minorEastAsia"/>
          <w:b/>
          <w:bCs/>
          <w:color w:val="000000"/>
          <w:sz w:val="21"/>
          <w:szCs w:val="21"/>
          <w:u w:val="single"/>
          <w:lang w:val="en-US" w:eastAsia="zh-CN"/>
        </w:rPr>
        <w:t xml:space="preserve">                                    </w:t>
      </w:r>
      <w:r>
        <w:rPr>
          <w:rFonts w:hint="eastAsia" w:asciiTheme="minorEastAsia" w:hAnsiTheme="minorEastAsia" w:eastAsiaTheme="minorEastAsia" w:cstheme="minorEastAsia"/>
          <w:b/>
          <w:bCs/>
          <w:color w:val="000000"/>
          <w:sz w:val="21"/>
          <w:szCs w:val="21"/>
          <w:u w:val="single"/>
        </w:rPr>
        <w:t xml:space="preserve">    </w:t>
      </w:r>
    </w:p>
    <w:p w14:paraId="3ED7A1F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1"/>
          <w:szCs w:val="21"/>
        </w:rPr>
      </w:pPr>
    </w:p>
    <w:p w14:paraId="2922091E">
      <w:pPr>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"https://baike.so.com/doc/24285488-25517578.html" \t "https://baike.so.com/doc/_blank"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中华人民共和国民法典</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000000"/>
          <w:sz w:val="21"/>
          <w:szCs w:val="21"/>
        </w:rPr>
        <w:t>》和《中华人民共和国保险法》等有关规定，甲、乙双方在平等互利的基础上，经友好协商，就投保人投保员工团体保险事宜，达成如下协议。本协议与投保书、保单、每一具体险种的基本条款、被保险人名册、合法有效的声明及其它投保文件共同构成保险合同，各文件相互补充，为不可分割的整体。</w:t>
      </w:r>
    </w:p>
    <w:p w14:paraId="36FE564F">
      <w:pPr>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上述书面文件中若有与本协议不一致的内容，以本协议为准。未尽事宜，则以保险标准条款为准。保险标准条款是指保险人向原中国银行保险监督委员会备案的条款。</w:t>
      </w:r>
    </w:p>
    <w:p w14:paraId="5111F272">
      <w:pPr>
        <w:pStyle w:val="2"/>
        <w:pageBreakBefore w:val="0"/>
        <w:numPr>
          <w:ilvl w:val="0"/>
          <w:numId w:val="8"/>
        </w:numPr>
        <w:kinsoku/>
        <w:wordWrap/>
        <w:overflowPunct/>
        <w:topLinePunct w:val="0"/>
        <w:bidi w:val="0"/>
        <w:spacing w:after="120"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甲方投保情况说明</w:t>
      </w:r>
    </w:p>
    <w:p w14:paraId="24F1BEF2">
      <w:pPr>
        <w:pageBreakBefore w:val="0"/>
        <w:kinsoku/>
        <w:wordWrap/>
        <w:overflowPunct/>
        <w:topLinePunct w:val="0"/>
        <w:bidi w:val="0"/>
        <w:spacing w:line="360" w:lineRule="auto"/>
        <w:ind w:left="181" w:leftChars="86"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甲方作为投保人，为其单位已参加北京市城镇职工基本医疗保险的员工统一投保乙方的团体综合补充医疗保险计划，投保险种具体以承保保单为准，具体参保人员详细信息以甲方向乙方提供的投保人员信息清单为准。</w:t>
      </w:r>
    </w:p>
    <w:p w14:paraId="4F948542">
      <w:pPr>
        <w:pStyle w:val="2"/>
        <w:pageBreakBefore w:val="0"/>
        <w:numPr>
          <w:ilvl w:val="0"/>
          <w:numId w:val="8"/>
        </w:numPr>
        <w:kinsoku/>
        <w:wordWrap/>
        <w:overflowPunct/>
        <w:topLinePunct w:val="0"/>
        <w:bidi w:val="0"/>
        <w:spacing w:after="120"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保险期限</w:t>
      </w:r>
    </w:p>
    <w:p w14:paraId="2D3F616E">
      <w:pPr>
        <w:pStyle w:val="8"/>
        <w:pageBreakBefore w:val="0"/>
        <w:tabs>
          <w:tab w:val="left" w:pos="180"/>
        </w:tabs>
        <w:kinsoku/>
        <w:wordWrap/>
        <w:overflowPunct/>
        <w:topLinePunct w:val="0"/>
        <w:bidi w:val="0"/>
        <w:spacing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本协议约定保险有效期限为一年，自</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color w:val="000000"/>
          <w:sz w:val="21"/>
          <w:szCs w:val="21"/>
          <w:u w:val="single"/>
        </w:rPr>
        <w:t>202</w:t>
      </w:r>
      <w:r>
        <w:rPr>
          <w:rFonts w:hint="eastAsia" w:asciiTheme="minorEastAsia" w:hAnsiTheme="minorEastAsia" w:eastAsiaTheme="minorEastAsia" w:cstheme="minorEastAsia"/>
          <w:color w:val="000000"/>
          <w:sz w:val="21"/>
          <w:szCs w:val="21"/>
          <w:u w:val="single"/>
          <w:lang w:val="en-US" w:eastAsia="zh-CN"/>
        </w:rPr>
        <w:t>5</w:t>
      </w:r>
      <w:r>
        <w:rPr>
          <w:rFonts w:hint="eastAsia" w:asciiTheme="minorEastAsia" w:hAnsiTheme="minorEastAsia" w:eastAsiaTheme="minorEastAsia" w:cstheme="minorEastAsia"/>
          <w:color w:val="000000"/>
          <w:sz w:val="21"/>
          <w:szCs w:val="21"/>
          <w:u w:val="single"/>
        </w:rPr>
        <w:t xml:space="preserve"> 年 1 月 1 日</w:t>
      </w:r>
      <w:r>
        <w:rPr>
          <w:rFonts w:hint="eastAsia" w:asciiTheme="minorEastAsia" w:hAnsiTheme="minorEastAsia" w:eastAsiaTheme="minorEastAsia" w:cstheme="minorEastAsia"/>
          <w:sz w:val="21"/>
          <w:szCs w:val="21"/>
        </w:rPr>
        <w:t>零时起至</w:t>
      </w:r>
      <w:r>
        <w:rPr>
          <w:rFonts w:hint="eastAsia" w:asciiTheme="minorEastAsia" w:hAnsiTheme="minorEastAsia" w:eastAsiaTheme="minorEastAsia" w:cstheme="minorEastAsia"/>
          <w:color w:val="000000"/>
          <w:sz w:val="21"/>
          <w:szCs w:val="21"/>
          <w:u w:val="single"/>
        </w:rPr>
        <w:t xml:space="preserve"> 202</w:t>
      </w:r>
      <w:r>
        <w:rPr>
          <w:rFonts w:hint="eastAsia" w:asciiTheme="minorEastAsia" w:hAnsiTheme="minorEastAsia" w:eastAsiaTheme="minorEastAsia" w:cstheme="minorEastAsia"/>
          <w:color w:val="000000"/>
          <w:sz w:val="21"/>
          <w:szCs w:val="21"/>
          <w:u w:val="single"/>
          <w:lang w:val="en-US" w:eastAsia="zh-CN"/>
        </w:rPr>
        <w:t>5</w:t>
      </w:r>
      <w:r>
        <w:rPr>
          <w:rFonts w:hint="eastAsia" w:asciiTheme="minorEastAsia" w:hAnsiTheme="minorEastAsia" w:eastAsiaTheme="minorEastAsia" w:cstheme="minorEastAsia"/>
          <w:color w:val="000000"/>
          <w:sz w:val="21"/>
          <w:szCs w:val="21"/>
          <w:u w:val="single"/>
        </w:rPr>
        <w:t>年 12 月 31 日</w:t>
      </w:r>
      <w:r>
        <w:rPr>
          <w:rFonts w:hint="eastAsia" w:asciiTheme="minorEastAsia" w:hAnsiTheme="minorEastAsia" w:eastAsiaTheme="minorEastAsia" w:cstheme="minorEastAsia"/>
          <w:sz w:val="21"/>
          <w:szCs w:val="21"/>
        </w:rPr>
        <w:t>二十四时止。</w:t>
      </w:r>
    </w:p>
    <w:p w14:paraId="2FC62EB1">
      <w:pPr>
        <w:pStyle w:val="2"/>
        <w:pageBreakBefore w:val="0"/>
        <w:numPr>
          <w:ilvl w:val="0"/>
          <w:numId w:val="8"/>
        </w:numPr>
        <w:kinsoku/>
        <w:wordWrap/>
        <w:overflowPunct/>
        <w:topLinePunct w:val="0"/>
        <w:bidi w:val="0"/>
        <w:spacing w:after="120"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参保人数与保额、保费</w:t>
      </w:r>
    </w:p>
    <w:p w14:paraId="4572C3F8">
      <w:pPr>
        <w:pStyle w:val="12"/>
        <w:pageBreakBefore w:val="0"/>
        <w:tabs>
          <w:tab w:val="left" w:pos="1020"/>
          <w:tab w:val="left" w:pos="1260"/>
        </w:tabs>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本计划参保的主被保险人合计</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人，其中退休人数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w:t>
      </w:r>
    </w:p>
    <w:p w14:paraId="7442B72D">
      <w:pPr>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主被保险人：                                                 单位：元</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954"/>
        <w:gridCol w:w="1101"/>
        <w:gridCol w:w="1568"/>
        <w:gridCol w:w="1649"/>
        <w:gridCol w:w="1364"/>
      </w:tblGrid>
      <w:tr w14:paraId="263E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7753A3FA">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选项</w:t>
            </w:r>
          </w:p>
        </w:tc>
        <w:tc>
          <w:tcPr>
            <w:tcW w:w="1954" w:type="dxa"/>
            <w:vAlign w:val="center"/>
          </w:tcPr>
          <w:p w14:paraId="6F594A5C">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保障项目</w:t>
            </w:r>
          </w:p>
        </w:tc>
        <w:tc>
          <w:tcPr>
            <w:tcW w:w="1101" w:type="dxa"/>
            <w:vAlign w:val="center"/>
          </w:tcPr>
          <w:p w14:paraId="044389B5">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保险人数</w:t>
            </w:r>
          </w:p>
        </w:tc>
        <w:tc>
          <w:tcPr>
            <w:tcW w:w="1568" w:type="dxa"/>
            <w:vAlign w:val="center"/>
          </w:tcPr>
          <w:p w14:paraId="55BAE5B7">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保险金额</w:t>
            </w:r>
          </w:p>
        </w:tc>
        <w:tc>
          <w:tcPr>
            <w:tcW w:w="1649" w:type="dxa"/>
            <w:vAlign w:val="center"/>
          </w:tcPr>
          <w:p w14:paraId="268066DC">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人均保费</w:t>
            </w:r>
          </w:p>
        </w:tc>
        <w:tc>
          <w:tcPr>
            <w:tcW w:w="1364" w:type="dxa"/>
            <w:vAlign w:val="center"/>
          </w:tcPr>
          <w:p w14:paraId="2C5D784E">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总保费</w:t>
            </w:r>
          </w:p>
        </w:tc>
      </w:tr>
      <w:tr w14:paraId="07B4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2B8836F">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sym w:font="Wingdings 2" w:char="00A3"/>
            </w:r>
          </w:p>
        </w:tc>
        <w:tc>
          <w:tcPr>
            <w:tcW w:w="1954" w:type="dxa"/>
            <w:vAlign w:val="center"/>
          </w:tcPr>
          <w:p w14:paraId="0305AEA2">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补充医疗</w:t>
            </w:r>
          </w:p>
        </w:tc>
        <w:tc>
          <w:tcPr>
            <w:tcW w:w="1101" w:type="dxa"/>
            <w:vAlign w:val="center"/>
          </w:tcPr>
          <w:p w14:paraId="1AAB1C29">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lang w:val="en-US" w:eastAsia="zh-CN"/>
              </w:rPr>
            </w:pPr>
          </w:p>
        </w:tc>
        <w:tc>
          <w:tcPr>
            <w:tcW w:w="1568" w:type="dxa"/>
            <w:vAlign w:val="center"/>
          </w:tcPr>
          <w:p w14:paraId="39C609E6">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详见后附</w:t>
            </w:r>
          </w:p>
        </w:tc>
        <w:tc>
          <w:tcPr>
            <w:tcW w:w="1649" w:type="dxa"/>
            <w:vMerge w:val="restart"/>
            <w:vAlign w:val="center"/>
          </w:tcPr>
          <w:p w14:paraId="0D494553">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lang w:val="en-US" w:eastAsia="zh-CN"/>
              </w:rPr>
            </w:pPr>
          </w:p>
        </w:tc>
        <w:tc>
          <w:tcPr>
            <w:tcW w:w="1364" w:type="dxa"/>
            <w:vMerge w:val="restart"/>
            <w:vAlign w:val="center"/>
          </w:tcPr>
          <w:p w14:paraId="12D23D0A">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lang w:val="en-US" w:eastAsia="zh-CN"/>
              </w:rPr>
            </w:pPr>
          </w:p>
        </w:tc>
      </w:tr>
      <w:tr w14:paraId="08F3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62971C30">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sym w:font="Wingdings 2" w:char="00A3"/>
            </w:r>
          </w:p>
        </w:tc>
        <w:tc>
          <w:tcPr>
            <w:tcW w:w="1954" w:type="dxa"/>
            <w:vAlign w:val="center"/>
          </w:tcPr>
          <w:p w14:paraId="27EA352A">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意外伤害</w:t>
            </w:r>
          </w:p>
        </w:tc>
        <w:tc>
          <w:tcPr>
            <w:tcW w:w="1101" w:type="dxa"/>
            <w:vAlign w:val="center"/>
          </w:tcPr>
          <w:p w14:paraId="4FBED9F0">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568" w:type="dxa"/>
            <w:vAlign w:val="center"/>
          </w:tcPr>
          <w:p w14:paraId="48B95A6E">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649" w:type="dxa"/>
            <w:vMerge w:val="continue"/>
            <w:vAlign w:val="center"/>
          </w:tcPr>
          <w:p w14:paraId="5C5BEF36">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364" w:type="dxa"/>
            <w:vMerge w:val="continue"/>
            <w:vAlign w:val="center"/>
          </w:tcPr>
          <w:p w14:paraId="30DA9CE8">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r w14:paraId="71B2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E5C87A6">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sym w:font="Wingdings 2" w:char="00A3"/>
            </w:r>
          </w:p>
        </w:tc>
        <w:tc>
          <w:tcPr>
            <w:tcW w:w="1954" w:type="dxa"/>
            <w:vAlign w:val="center"/>
          </w:tcPr>
          <w:p w14:paraId="39AEE056">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意外医疗</w:t>
            </w:r>
          </w:p>
        </w:tc>
        <w:tc>
          <w:tcPr>
            <w:tcW w:w="1101" w:type="dxa"/>
            <w:vAlign w:val="center"/>
          </w:tcPr>
          <w:p w14:paraId="5407F51B">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568" w:type="dxa"/>
            <w:vAlign w:val="center"/>
          </w:tcPr>
          <w:p w14:paraId="2AE1D527">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649" w:type="dxa"/>
            <w:vMerge w:val="continue"/>
            <w:vAlign w:val="center"/>
          </w:tcPr>
          <w:p w14:paraId="6F579C8C">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364" w:type="dxa"/>
            <w:vMerge w:val="continue"/>
            <w:vAlign w:val="center"/>
          </w:tcPr>
          <w:p w14:paraId="1CE4D48E">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r w14:paraId="33DE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19EDBE5B">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sym w:font="Wingdings 2" w:char="00A3"/>
            </w:r>
          </w:p>
        </w:tc>
        <w:tc>
          <w:tcPr>
            <w:tcW w:w="1954" w:type="dxa"/>
            <w:vAlign w:val="center"/>
          </w:tcPr>
          <w:p w14:paraId="2B907D75">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重大疾病</w:t>
            </w:r>
          </w:p>
        </w:tc>
        <w:tc>
          <w:tcPr>
            <w:tcW w:w="1101" w:type="dxa"/>
            <w:vAlign w:val="center"/>
          </w:tcPr>
          <w:p w14:paraId="21551688">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568" w:type="dxa"/>
            <w:vAlign w:val="center"/>
          </w:tcPr>
          <w:p w14:paraId="3AA94050">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649" w:type="dxa"/>
            <w:vMerge w:val="continue"/>
            <w:vAlign w:val="center"/>
          </w:tcPr>
          <w:p w14:paraId="1E2AF282">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364" w:type="dxa"/>
            <w:vMerge w:val="continue"/>
            <w:vAlign w:val="center"/>
          </w:tcPr>
          <w:p w14:paraId="758D8452">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r w14:paraId="686D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0B8720C">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sym w:font="Wingdings 2" w:char="00A3"/>
            </w:r>
          </w:p>
        </w:tc>
        <w:tc>
          <w:tcPr>
            <w:tcW w:w="1954" w:type="dxa"/>
            <w:vAlign w:val="center"/>
          </w:tcPr>
          <w:p w14:paraId="6EC9EB95">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住院津贴</w:t>
            </w:r>
          </w:p>
        </w:tc>
        <w:tc>
          <w:tcPr>
            <w:tcW w:w="1101" w:type="dxa"/>
            <w:vAlign w:val="center"/>
          </w:tcPr>
          <w:p w14:paraId="0391A36C">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568" w:type="dxa"/>
            <w:vAlign w:val="center"/>
          </w:tcPr>
          <w:p w14:paraId="45FCC2F3">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649" w:type="dxa"/>
            <w:vMerge w:val="continue"/>
            <w:vAlign w:val="center"/>
          </w:tcPr>
          <w:p w14:paraId="6E139B00">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364" w:type="dxa"/>
            <w:vMerge w:val="continue"/>
            <w:vAlign w:val="center"/>
          </w:tcPr>
          <w:p w14:paraId="72368AA3">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r w14:paraId="0E94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7216407A">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sym w:font="Wingdings 2" w:char="00A3"/>
            </w:r>
          </w:p>
        </w:tc>
        <w:tc>
          <w:tcPr>
            <w:tcW w:w="1954" w:type="dxa"/>
            <w:vAlign w:val="center"/>
          </w:tcPr>
          <w:p w14:paraId="4527B6EB">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疾病身故</w:t>
            </w:r>
          </w:p>
        </w:tc>
        <w:tc>
          <w:tcPr>
            <w:tcW w:w="1101" w:type="dxa"/>
            <w:vAlign w:val="center"/>
          </w:tcPr>
          <w:p w14:paraId="6193299B">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568" w:type="dxa"/>
            <w:vAlign w:val="center"/>
          </w:tcPr>
          <w:p w14:paraId="323B6E26">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649" w:type="dxa"/>
            <w:vMerge w:val="continue"/>
            <w:vAlign w:val="center"/>
          </w:tcPr>
          <w:p w14:paraId="79F44178">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364" w:type="dxa"/>
            <w:vMerge w:val="continue"/>
            <w:vAlign w:val="center"/>
          </w:tcPr>
          <w:p w14:paraId="0506B49D">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r w14:paraId="6BD6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8" w:type="dxa"/>
            <w:gridSpan w:val="5"/>
            <w:vAlign w:val="center"/>
          </w:tcPr>
          <w:p w14:paraId="64E44D5C">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合计</w:t>
            </w:r>
          </w:p>
        </w:tc>
        <w:tc>
          <w:tcPr>
            <w:tcW w:w="1364" w:type="dxa"/>
            <w:vAlign w:val="center"/>
          </w:tcPr>
          <w:p w14:paraId="36300E53">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bl>
    <w:p w14:paraId="37E1D04B">
      <w:pPr>
        <w:pageBreakBefore w:val="0"/>
        <w:kinsoku/>
        <w:wordWrap/>
        <w:overflowPunct/>
        <w:topLinePunct w:val="0"/>
        <w:bidi w:val="0"/>
        <w:spacing w:after="156" w:afterLines="50"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缴费方式为：</w:t>
      </w:r>
      <w:r>
        <w:rPr>
          <w:rFonts w:hint="eastAsia" w:asciiTheme="minorEastAsia" w:hAnsiTheme="minorEastAsia" w:eastAsiaTheme="minorEastAsia" w:cstheme="minorEastAsia"/>
          <w:b/>
          <w:bCs/>
          <w:sz w:val="21"/>
          <w:szCs w:val="21"/>
        </w:rPr>
        <w:sym w:font="Wingdings 2" w:char="0052"/>
      </w:r>
      <w:r>
        <w:rPr>
          <w:rFonts w:hint="eastAsia" w:asciiTheme="minorEastAsia" w:hAnsiTheme="minorEastAsia" w:eastAsiaTheme="minorEastAsia" w:cstheme="minorEastAsia"/>
          <w:b/>
          <w:bCs/>
          <w:sz w:val="21"/>
          <w:szCs w:val="21"/>
        </w:rPr>
        <w:t xml:space="preserve">趸缴 </w:t>
      </w:r>
    </w:p>
    <w:p w14:paraId="4018B74D">
      <w:pPr>
        <w:pageBreakBefore w:val="0"/>
        <w:kinsoku/>
        <w:wordWrap/>
        <w:overflowPunct/>
        <w:topLinePunct w:val="0"/>
        <w:autoSpaceDE w:val="0"/>
        <w:autoSpaceDN w:val="0"/>
        <w:bidi w:val="0"/>
        <w:adjustRightInd w:val="0"/>
        <w:spacing w:line="360" w:lineRule="auto"/>
        <w:ind w:firstLine="1265" w:firstLineChars="6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期缴 ：</w:t>
      </w: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月缴、</w:t>
      </w: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季缴、</w:t>
      </w: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半年缴</w:t>
      </w:r>
    </w:p>
    <w:p w14:paraId="33F1CCC1">
      <w:pPr>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sz w:val="21"/>
          <w:szCs w:val="21"/>
        </w:rPr>
      </w:pPr>
    </w:p>
    <w:p w14:paraId="38863325">
      <w:pPr>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本计划参保的附属被保险人合计</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w:t>
      </w:r>
    </w:p>
    <w:p w14:paraId="009BFB3D">
      <w:pPr>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附属被保险人：                                               单位：元</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954"/>
        <w:gridCol w:w="1101"/>
        <w:gridCol w:w="1568"/>
        <w:gridCol w:w="1186"/>
        <w:gridCol w:w="1827"/>
      </w:tblGrid>
      <w:tr w14:paraId="33BB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B629818">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选项</w:t>
            </w:r>
          </w:p>
        </w:tc>
        <w:tc>
          <w:tcPr>
            <w:tcW w:w="1954" w:type="dxa"/>
            <w:vAlign w:val="center"/>
          </w:tcPr>
          <w:p w14:paraId="7A1BDEA2">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保障项目</w:t>
            </w:r>
          </w:p>
        </w:tc>
        <w:tc>
          <w:tcPr>
            <w:tcW w:w="1101" w:type="dxa"/>
            <w:vAlign w:val="center"/>
          </w:tcPr>
          <w:p w14:paraId="0C6CEB51">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保险人数</w:t>
            </w:r>
          </w:p>
        </w:tc>
        <w:tc>
          <w:tcPr>
            <w:tcW w:w="1568" w:type="dxa"/>
            <w:vAlign w:val="center"/>
          </w:tcPr>
          <w:p w14:paraId="55D6DF39">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报销比例</w:t>
            </w:r>
          </w:p>
        </w:tc>
        <w:tc>
          <w:tcPr>
            <w:tcW w:w="1186" w:type="dxa"/>
            <w:vAlign w:val="center"/>
          </w:tcPr>
          <w:p w14:paraId="3F9E05CA">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人均保费</w:t>
            </w:r>
          </w:p>
        </w:tc>
        <w:tc>
          <w:tcPr>
            <w:tcW w:w="1827" w:type="dxa"/>
            <w:vAlign w:val="center"/>
          </w:tcPr>
          <w:p w14:paraId="3CD9F507">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总保费</w:t>
            </w:r>
          </w:p>
        </w:tc>
      </w:tr>
      <w:tr w14:paraId="0CDD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69931A8D">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sym w:font="Wingdings 2" w:char="00A3"/>
            </w:r>
          </w:p>
        </w:tc>
        <w:tc>
          <w:tcPr>
            <w:tcW w:w="1954" w:type="dxa"/>
            <w:vAlign w:val="center"/>
          </w:tcPr>
          <w:p w14:paraId="3020C989">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子女医疗</w:t>
            </w:r>
          </w:p>
        </w:tc>
        <w:tc>
          <w:tcPr>
            <w:tcW w:w="1101" w:type="dxa"/>
            <w:vAlign w:val="center"/>
          </w:tcPr>
          <w:p w14:paraId="07774776">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568" w:type="dxa"/>
            <w:vAlign w:val="center"/>
          </w:tcPr>
          <w:p w14:paraId="5072E13B">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50%</w:t>
            </w:r>
          </w:p>
        </w:tc>
        <w:tc>
          <w:tcPr>
            <w:tcW w:w="1186" w:type="dxa"/>
            <w:vAlign w:val="center"/>
          </w:tcPr>
          <w:p w14:paraId="690A227F">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827" w:type="dxa"/>
            <w:vAlign w:val="center"/>
          </w:tcPr>
          <w:p w14:paraId="691E9D3D">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r w14:paraId="0A31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282BAF97">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sym w:font="Wingdings 2" w:char="00A3"/>
            </w:r>
          </w:p>
        </w:tc>
        <w:tc>
          <w:tcPr>
            <w:tcW w:w="1954" w:type="dxa"/>
            <w:vAlign w:val="center"/>
          </w:tcPr>
          <w:p w14:paraId="699BAE54">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子女医疗</w:t>
            </w:r>
          </w:p>
        </w:tc>
        <w:tc>
          <w:tcPr>
            <w:tcW w:w="1101" w:type="dxa"/>
            <w:vAlign w:val="center"/>
          </w:tcPr>
          <w:p w14:paraId="70FA4E7E">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568" w:type="dxa"/>
            <w:vAlign w:val="center"/>
          </w:tcPr>
          <w:p w14:paraId="34B97721">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90%</w:t>
            </w:r>
          </w:p>
        </w:tc>
        <w:tc>
          <w:tcPr>
            <w:tcW w:w="1186" w:type="dxa"/>
            <w:vAlign w:val="center"/>
          </w:tcPr>
          <w:p w14:paraId="32631A25">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827" w:type="dxa"/>
            <w:vAlign w:val="center"/>
          </w:tcPr>
          <w:p w14:paraId="47226C59">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r w14:paraId="312F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1AD5BD6F">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sym w:font="Wingdings 2" w:char="00A3"/>
            </w:r>
          </w:p>
        </w:tc>
        <w:tc>
          <w:tcPr>
            <w:tcW w:w="1954" w:type="dxa"/>
            <w:vAlign w:val="center"/>
          </w:tcPr>
          <w:p w14:paraId="11223210">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子女医疗</w:t>
            </w:r>
          </w:p>
        </w:tc>
        <w:tc>
          <w:tcPr>
            <w:tcW w:w="1101" w:type="dxa"/>
            <w:vAlign w:val="center"/>
          </w:tcPr>
          <w:p w14:paraId="6EAFF85E">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568" w:type="dxa"/>
            <w:vAlign w:val="center"/>
          </w:tcPr>
          <w:p w14:paraId="208002D6">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100%</w:t>
            </w:r>
          </w:p>
        </w:tc>
        <w:tc>
          <w:tcPr>
            <w:tcW w:w="1186" w:type="dxa"/>
            <w:vAlign w:val="center"/>
          </w:tcPr>
          <w:p w14:paraId="5A3F6979">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1827" w:type="dxa"/>
            <w:vAlign w:val="center"/>
          </w:tcPr>
          <w:p w14:paraId="57BC9218">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r w14:paraId="24C4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5" w:type="dxa"/>
            <w:gridSpan w:val="5"/>
            <w:vAlign w:val="center"/>
          </w:tcPr>
          <w:p w14:paraId="0CAEB779">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合计</w:t>
            </w:r>
          </w:p>
        </w:tc>
        <w:tc>
          <w:tcPr>
            <w:tcW w:w="1827" w:type="dxa"/>
            <w:vAlign w:val="center"/>
          </w:tcPr>
          <w:p w14:paraId="54B47182">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r>
    </w:tbl>
    <w:p w14:paraId="708A7608">
      <w:pPr>
        <w:pageBreakBefore w:val="0"/>
        <w:kinsoku/>
        <w:wordWrap/>
        <w:overflowPunct/>
        <w:topLinePunct w:val="0"/>
        <w:bidi w:val="0"/>
        <w:spacing w:after="156" w:afterLines="50"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缴费方式为：</w:t>
      </w: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 xml:space="preserve">趸缴 </w:t>
      </w:r>
    </w:p>
    <w:p w14:paraId="7CB26E61">
      <w:pPr>
        <w:pageBreakBefore w:val="0"/>
        <w:kinsoku/>
        <w:wordWrap/>
        <w:overflowPunct/>
        <w:topLinePunct w:val="0"/>
        <w:bidi w:val="0"/>
        <w:spacing w:after="156" w:afterLines="50" w:line="360" w:lineRule="auto"/>
        <w:ind w:firstLine="1687" w:firstLineChars="8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期缴 ：</w:t>
      </w: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月缴、</w:t>
      </w: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季缴、</w:t>
      </w: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半年缴</w:t>
      </w:r>
    </w:p>
    <w:p w14:paraId="53CD2220">
      <w:pPr>
        <w:pStyle w:val="12"/>
        <w:pageBreakBefore w:val="0"/>
        <w:tabs>
          <w:tab w:val="left" w:pos="1020"/>
          <w:tab w:val="left" w:pos="1260"/>
        </w:tabs>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本计划合计首期保费为</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rPr>
        <w:t xml:space="preserve"> </w:t>
      </w:r>
      <w:r>
        <w:rPr>
          <w:rFonts w:hint="eastAsia" w:asciiTheme="minorEastAsia" w:hAnsiTheme="minorEastAsia" w:eastAsiaTheme="minorEastAsia" w:cstheme="minorEastAsia"/>
          <w:b/>
          <w:bCs/>
          <w:sz w:val="21"/>
          <w:szCs w:val="21"/>
        </w:rPr>
        <w:t>元(人民币)。</w:t>
      </w:r>
    </w:p>
    <w:p w14:paraId="367D2A6B">
      <w:pPr>
        <w:pStyle w:val="2"/>
        <w:pageBreakBefore w:val="0"/>
        <w:numPr>
          <w:ilvl w:val="0"/>
          <w:numId w:val="8"/>
        </w:numPr>
        <w:kinsoku/>
        <w:wordWrap/>
        <w:overflowPunct/>
        <w:topLinePunct w:val="0"/>
        <w:bidi w:val="0"/>
        <w:spacing w:after="120"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补充医疗保险责任说明</w:t>
      </w:r>
    </w:p>
    <w:p w14:paraId="00C10167">
      <w:pPr>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sz w:val="21"/>
          <w:szCs w:val="21"/>
        </w:rPr>
      </w:pPr>
      <w:bookmarkStart w:id="221" w:name="OLE_LINK1"/>
      <w:r>
        <w:rPr>
          <w:rFonts w:hint="eastAsia" w:asciiTheme="minorEastAsia" w:hAnsiTheme="minorEastAsia" w:eastAsiaTheme="minorEastAsia" w:cstheme="minorEastAsia"/>
          <w:b/>
          <w:sz w:val="21"/>
          <w:szCs w:val="21"/>
        </w:rPr>
        <w:t>一、团体补充医疗保险</w:t>
      </w:r>
      <w:bookmarkEnd w:id="221"/>
    </w:p>
    <w:p w14:paraId="4FDFB368">
      <w:pPr>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1、小额门（急）诊保险金：</w:t>
      </w:r>
      <w:r>
        <w:rPr>
          <w:rFonts w:hint="eastAsia" w:asciiTheme="minorEastAsia" w:hAnsiTheme="minorEastAsia" w:eastAsiaTheme="minorEastAsia" w:cstheme="minorEastAsia"/>
          <w:sz w:val="21"/>
          <w:szCs w:val="21"/>
        </w:rPr>
        <w:t>被保险人在保险期间内发生的、属于北京市城镇职工基本医疗保险支付范围内的门（急）诊医疗费用，乙方对于门诊大额医疗互助资金起付标准之下、甲、乙双方约定的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500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元免赔额之上的“个人自付一”的门（急）诊医疗费用，按</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100</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rPr>
        <w:t>的赔付比例给付小额门（急）诊保险金。</w:t>
      </w:r>
    </w:p>
    <w:p w14:paraId="7E6A05C1">
      <w:pPr>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2、大额门（急）诊保险金：</w:t>
      </w:r>
      <w:r>
        <w:rPr>
          <w:rFonts w:hint="eastAsia" w:asciiTheme="minorEastAsia" w:hAnsiTheme="minorEastAsia" w:eastAsiaTheme="minorEastAsia" w:cstheme="minorEastAsia"/>
          <w:sz w:val="21"/>
          <w:szCs w:val="21"/>
        </w:rPr>
        <w:t>被保险人在保险期间内发生的、属于北京市城镇职工基本医疗保险支付范围内的门（急）诊医疗费用，乙方对于门诊大额医疗互助资金起付标准之上、门诊大额医疗互助资金支付限额之下，应当由被保险人个人负担的“个人自付一”门（急）诊医疗费用，按甲、乙双方在投保时约定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100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赔付比例给付大额门（急）诊保险金。</w:t>
      </w:r>
    </w:p>
    <w:p w14:paraId="2B4857AA">
      <w:pPr>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3、超大额门（急）诊保险金：</w:t>
      </w:r>
      <w:r>
        <w:rPr>
          <w:rFonts w:hint="eastAsia" w:asciiTheme="minorEastAsia" w:hAnsiTheme="minorEastAsia" w:eastAsiaTheme="minorEastAsia" w:cstheme="minorEastAsia"/>
          <w:sz w:val="21"/>
          <w:szCs w:val="21"/>
        </w:rPr>
        <w:t>被保险人在保险期间内发生的、属于北京市城镇职工基本医疗保险支付范围内的门（急）诊医疗费用，乙方对于门诊大额医疗互助资金起付标准之上（上不封顶）应当由被保险人个人负担的“个人自付一”门（急）诊医疗费用，按甲、乙双方在投保时约定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100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赔付比例给付大额门（急）诊保险金。</w:t>
      </w:r>
    </w:p>
    <w:p w14:paraId="738304DB">
      <w:pPr>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4、小额住院医疗保险金：</w:t>
      </w:r>
      <w:r>
        <w:rPr>
          <w:rFonts w:hint="eastAsia" w:asciiTheme="minorEastAsia" w:hAnsiTheme="minorEastAsia" w:eastAsiaTheme="minorEastAsia" w:cstheme="minorEastAsia"/>
          <w:sz w:val="21"/>
          <w:szCs w:val="21"/>
        </w:rPr>
        <w:t>被保险人在保险期间内发生的、属于北京市城镇职工基本医疗保险支付范围内的住院医疗费用，乙方对于统筹基金起付标准之下应当由被保险人个人负担的“个人自付一”的住院医疗费用，在扣除</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元免赔额，按</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100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赔付比例给付小额住院保险金。</w:t>
      </w:r>
    </w:p>
    <w:p w14:paraId="69C58B71">
      <w:pPr>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5、基本住院医疗保险金：</w:t>
      </w:r>
      <w:r>
        <w:rPr>
          <w:rFonts w:hint="eastAsia" w:asciiTheme="minorEastAsia" w:hAnsiTheme="minorEastAsia" w:eastAsiaTheme="minorEastAsia" w:cstheme="minorEastAsia"/>
          <w:sz w:val="21"/>
          <w:szCs w:val="21"/>
        </w:rPr>
        <w:t>被保险人在保险期间内发生的、属于北京市城镇职工基本医疗保险支付范围内的住院医疗费用，乙方对于统筹基金起付标准之上、统筹基金最高支付限额之下的应当由被保险人个人负担的“个人自付一”的住院医疗费用，按照</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100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%赔付比例给付基本医疗保险金。</w:t>
      </w:r>
    </w:p>
    <w:p w14:paraId="20D191FE">
      <w:pPr>
        <w:pageBreakBefore w:val="0"/>
        <w:kinsoku/>
        <w:wordWrap/>
        <w:overflowPunct/>
        <w:topLinePunct w:val="0"/>
        <w:autoSpaceDE w:val="0"/>
        <w:autoSpaceDN w:val="0"/>
        <w:bidi w:val="0"/>
        <w:adjustRightInd w:val="0"/>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6、大额住院医疗保险金：</w:t>
      </w:r>
      <w:r>
        <w:rPr>
          <w:rFonts w:hint="eastAsia" w:asciiTheme="minorEastAsia" w:hAnsiTheme="minorEastAsia" w:eastAsiaTheme="minorEastAsia" w:cstheme="minorEastAsia"/>
          <w:sz w:val="21"/>
          <w:szCs w:val="21"/>
        </w:rPr>
        <w:t>被保险人在保险期间内发生的、属于北京市城镇职工基本医疗保险支付范围内的住院医疗费用，乙方对于统筹基金支付限额之上、大额医疗互助资金支付限额之下应当由被保险人个人负担的“个人自付一”的住院医疗费用，按照</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100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%赔付比例给付大额住院医疗保险金。</w:t>
      </w:r>
    </w:p>
    <w:p w14:paraId="27745866">
      <w:pPr>
        <w:pageBreakBefore w:val="0"/>
        <w:kinsoku/>
        <w:wordWrap/>
        <w:overflowPunct/>
        <w:topLinePunct w:val="0"/>
        <w:autoSpaceDE w:val="0"/>
        <w:autoSpaceDN w:val="0"/>
        <w:bidi w:val="0"/>
        <w:adjustRightInd w:val="0"/>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7、超大额住院医疗保险金：</w:t>
      </w:r>
      <w:r>
        <w:rPr>
          <w:rFonts w:hint="eastAsia" w:asciiTheme="minorEastAsia" w:hAnsiTheme="minorEastAsia" w:eastAsiaTheme="minorEastAsia" w:cstheme="minorEastAsia"/>
          <w:sz w:val="21"/>
          <w:szCs w:val="21"/>
        </w:rPr>
        <w:t>被保险人在保险期间内发生的、属于北京市城镇职工基本医疗保险支付范围内的住院医疗费用，乙方对于大额医疗互助资金支付限额之上、甲、乙双方约定的超大额医疗费用限额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万元之下的部分医疗费用，按甲方在投保时约定的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%赔付比例给付超大额医疗保险金。</w:t>
      </w:r>
    </w:p>
    <w:p w14:paraId="09ACC8F9">
      <w:pPr>
        <w:pStyle w:val="2"/>
        <w:pageBreakBefore w:val="0"/>
        <w:numPr>
          <w:ilvl w:val="0"/>
          <w:numId w:val="8"/>
        </w:numPr>
        <w:kinsoku/>
        <w:wordWrap/>
        <w:overflowPunct/>
        <w:topLinePunct w:val="0"/>
        <w:bidi w:val="0"/>
        <w:spacing w:after="120"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特别约定</w:t>
      </w:r>
    </w:p>
    <w:p w14:paraId="563FDC4C">
      <w:pPr>
        <w:pageBreakBefore w:val="0"/>
        <w:kinsoku/>
        <w:wordWrap/>
        <w:overflowPunct/>
        <w:topLinePunct w:val="0"/>
        <w:autoSpaceDE w:val="0"/>
        <w:autoSpaceDN w:val="0"/>
        <w:bidi w:val="0"/>
        <w:adjustRightInd w:val="0"/>
        <w:spacing w:line="360" w:lineRule="auto"/>
        <w:ind w:firstLine="211" w:firstLineChars="1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sym w:font="Wingdings 2" w:char="00A3"/>
      </w:r>
      <w:r>
        <w:rPr>
          <w:rFonts w:hint="eastAsia" w:asciiTheme="minorEastAsia" w:hAnsiTheme="minorEastAsia" w:eastAsiaTheme="minorEastAsia" w:cstheme="minorEastAsia"/>
          <w:b/>
          <w:bCs/>
          <w:sz w:val="21"/>
          <w:szCs w:val="21"/>
        </w:rPr>
        <w:t xml:space="preserve">有     </w:t>
      </w:r>
      <w:r>
        <w:rPr>
          <w:rFonts w:hint="eastAsia" w:asciiTheme="minorEastAsia" w:hAnsiTheme="minorEastAsia" w:eastAsiaTheme="minorEastAsia" w:cstheme="minorEastAsia"/>
          <w:b/>
          <w:bCs/>
          <w:sz w:val="21"/>
          <w:szCs w:val="21"/>
        </w:rPr>
        <w:sym w:font="Wingdings 2" w:char="0052"/>
      </w:r>
      <w:r>
        <w:rPr>
          <w:rFonts w:hint="eastAsia" w:asciiTheme="minorEastAsia" w:hAnsiTheme="minorEastAsia" w:eastAsiaTheme="minorEastAsia" w:cstheme="minorEastAsia"/>
          <w:b/>
          <w:bCs/>
          <w:sz w:val="21"/>
          <w:szCs w:val="21"/>
        </w:rPr>
        <w:t>无</w:t>
      </w:r>
    </w:p>
    <w:p w14:paraId="2F1A94A8">
      <w:pPr>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b/>
          <w:sz w:val="21"/>
          <w:szCs w:val="21"/>
        </w:rPr>
      </w:pPr>
    </w:p>
    <w:p w14:paraId="166CD33F">
      <w:pPr>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14:paraId="0A22457A">
      <w:pPr>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 xml:space="preserve">                                                                      </w:t>
      </w:r>
    </w:p>
    <w:p w14:paraId="1C0E9C4A">
      <w:pPr>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14:paraId="4F63DEBA">
      <w:pPr>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14:paraId="58486F70">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br w:type="page"/>
      </w:r>
    </w:p>
    <w:p w14:paraId="44C63D50">
      <w:pPr>
        <w:pStyle w:val="2"/>
        <w:pageBreakBefore w:val="0"/>
        <w:numPr>
          <w:ilvl w:val="0"/>
          <w:numId w:val="8"/>
        </w:numPr>
        <w:kinsoku/>
        <w:wordWrap/>
        <w:overflowPunct/>
        <w:topLinePunct w:val="0"/>
        <w:bidi w:val="0"/>
        <w:spacing w:after="120"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保全服务事项</w:t>
      </w:r>
    </w:p>
    <w:p w14:paraId="69AAD6A1">
      <w:pPr>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b/>
          <w:sz w:val="21"/>
          <w:szCs w:val="21"/>
        </w:rPr>
        <w:t>一、</w:t>
      </w:r>
      <w:r>
        <w:rPr>
          <w:rFonts w:hint="eastAsia" w:asciiTheme="minorEastAsia" w:hAnsiTheme="minorEastAsia" w:eastAsiaTheme="minorEastAsia" w:cstheme="minorEastAsia"/>
          <w:b/>
          <w:sz w:val="21"/>
          <w:szCs w:val="21"/>
          <w:lang w:val="en-GB"/>
        </w:rPr>
        <w:t>人员增减服务：</w:t>
      </w:r>
      <w:r>
        <w:rPr>
          <w:rFonts w:hint="eastAsia" w:asciiTheme="minorEastAsia" w:hAnsiTheme="minorEastAsia" w:eastAsiaTheme="minorEastAsia" w:cstheme="minorEastAsia"/>
          <w:sz w:val="21"/>
          <w:szCs w:val="21"/>
          <w:lang w:val="en-GB"/>
        </w:rPr>
        <w:t>本保险有效期间内，乙方为甲方提供如下人员增减服务：</w:t>
      </w:r>
    </w:p>
    <w:p w14:paraId="3F34138C">
      <w:pPr>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val="en-GB"/>
        </w:rPr>
        <w:t>1</w:t>
      </w:r>
      <w:r>
        <w:rPr>
          <w:rFonts w:hint="eastAsia" w:asciiTheme="minorEastAsia" w:hAnsiTheme="minorEastAsia" w:eastAsiaTheme="minorEastAsia" w:cstheme="minorEastAsia"/>
          <w:color w:val="000000"/>
          <w:sz w:val="21"/>
          <w:szCs w:val="21"/>
          <w:lang w:val="en-GB"/>
        </w:rPr>
        <w:t>、</w:t>
      </w:r>
      <w:r>
        <w:rPr>
          <w:rFonts w:hint="eastAsia" w:asciiTheme="minorEastAsia" w:hAnsiTheme="minorEastAsia" w:eastAsiaTheme="minorEastAsia" w:cstheme="minorEastAsia"/>
          <w:color w:val="000000"/>
          <w:sz w:val="21"/>
          <w:szCs w:val="21"/>
        </w:rPr>
        <w:t>员工增减以甲方员工的入职、离职通知时间为准，对符合甲方录用要求和乙方承保条件的员工，增加人员保险责任自员工实际入职当月开始，减保人员保险责任自离职当月终止。人员增减时甲方需提供人员变更详细清单，填写《团体保险变更申请书》(加盖公章)和《团体保险被保险人增减信息清单》(加盖公章)，增加或减少人员的保险费用结算以《团体保险被保险人增减信息清单》的记录为准，人员增减变化批改追溯期：90天。</w:t>
      </w:r>
    </w:p>
    <w:p w14:paraId="5E47861C">
      <w:pPr>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如果在追溯期内发生意外保险事故，甲方须提供符合客观事实的被保险人的入职证明。甲方提交保全报告应遵守诚实守信原则，以事实为依据。</w:t>
      </w:r>
    </w:p>
    <w:p w14:paraId="4E973EE1">
      <w:pPr>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sz w:val="21"/>
          <w:szCs w:val="21"/>
          <w:lang w:val="en-GB"/>
        </w:rPr>
      </w:pPr>
      <w:r>
        <w:rPr>
          <w:rFonts w:hint="eastAsia" w:asciiTheme="minorEastAsia" w:hAnsiTheme="minorEastAsia" w:eastAsiaTheme="minorEastAsia" w:cstheme="minorEastAsia"/>
          <w:b/>
          <w:sz w:val="21"/>
          <w:szCs w:val="21"/>
          <w:lang w:val="en-GB"/>
        </w:rPr>
        <w:t>2、人员增减保费具体计算为：</w:t>
      </w:r>
    </w:p>
    <w:p w14:paraId="29B0B735">
      <w:pPr>
        <w:pageBreakBefore w:val="0"/>
        <w:numPr>
          <w:ilvl w:val="0"/>
          <w:numId w:val="9"/>
        </w:numPr>
        <w:kinsoku/>
        <w:wordWrap/>
        <w:overflowPunct/>
        <w:topLinePunct w:val="0"/>
        <w:bidi w:val="0"/>
        <w:spacing w:line="360" w:lineRule="auto"/>
        <w:ind w:firstLine="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增加人员应缴保费=年缴保费×实际保障天数/365。</w:t>
      </w:r>
    </w:p>
    <w:p w14:paraId="249BC164">
      <w:pPr>
        <w:pageBreakBefore w:val="0"/>
        <w:numPr>
          <w:ilvl w:val="0"/>
          <w:numId w:val="9"/>
        </w:numPr>
        <w:kinsoku/>
        <w:wordWrap/>
        <w:overflowPunct/>
        <w:topLinePunct w:val="0"/>
        <w:bidi w:val="0"/>
        <w:spacing w:line="360" w:lineRule="auto"/>
        <w:ind w:firstLine="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未满期保费=年缴保费×（365-实际保障天数）/365。</w:t>
      </w:r>
    </w:p>
    <w:p w14:paraId="723814F5">
      <w:pPr>
        <w:pageBreakBefore w:val="0"/>
        <w:numPr>
          <w:ilvl w:val="0"/>
          <w:numId w:val="9"/>
        </w:numPr>
        <w:kinsoku/>
        <w:wordWrap/>
        <w:overflowPunct/>
        <w:topLinePunct w:val="0"/>
        <w:bidi w:val="0"/>
        <w:spacing w:line="360" w:lineRule="auto"/>
        <w:ind w:firstLine="0"/>
        <w:textAlignment w:val="auto"/>
        <w:rPr>
          <w:rFonts w:hint="eastAsia" w:asciiTheme="minorEastAsia" w:hAnsiTheme="minorEastAsia" w:eastAsiaTheme="minorEastAsia" w:cstheme="minorEastAsia"/>
          <w:b/>
          <w:sz w:val="21"/>
          <w:szCs w:val="21"/>
          <w:lang w:val="en-GB"/>
        </w:rPr>
      </w:pPr>
      <w:r>
        <w:rPr>
          <w:rFonts w:hint="eastAsia" w:asciiTheme="minorEastAsia" w:hAnsiTheme="minorEastAsia" w:eastAsiaTheme="minorEastAsia" w:cstheme="minorEastAsia"/>
          <w:bCs/>
          <w:sz w:val="21"/>
          <w:szCs w:val="21"/>
          <w:lang w:val="en-GB"/>
        </w:rPr>
        <w:t>已发生过理赔的员工，退保时不退费。</w:t>
      </w:r>
    </w:p>
    <w:p w14:paraId="31C6CD40">
      <w:pPr>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3</w:t>
      </w:r>
      <w:r>
        <w:rPr>
          <w:rFonts w:hint="eastAsia" w:asciiTheme="minorEastAsia" w:hAnsiTheme="minorEastAsia" w:eastAsiaTheme="minorEastAsia" w:cstheme="minorEastAsia"/>
          <w:sz w:val="21"/>
          <w:szCs w:val="21"/>
        </w:rPr>
        <w:t>、如果当次增减人员发生后人数少于原投保人数的75%，或增减人员后导致整体平均年龄超出原平均年龄3岁以上，乙方有权在征得甲方同意的前提之下对上述保费计算公式进行调整。</w:t>
      </w:r>
    </w:p>
    <w:p w14:paraId="2729AD5E">
      <w:pPr>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color w:val="000000"/>
          <w:sz w:val="21"/>
          <w:szCs w:val="21"/>
          <w:lang w:val="en-GB"/>
        </w:rPr>
      </w:pPr>
      <w:r>
        <w:rPr>
          <w:rFonts w:hint="eastAsia" w:asciiTheme="minorEastAsia" w:hAnsiTheme="minorEastAsia" w:eastAsiaTheme="minorEastAsia" w:cstheme="minorEastAsia"/>
          <w:b/>
          <w:color w:val="000000"/>
          <w:sz w:val="21"/>
          <w:szCs w:val="21"/>
          <w:lang w:val="en-GB"/>
        </w:rPr>
        <w:t>二、保全保费结算：</w:t>
      </w:r>
    </w:p>
    <w:p w14:paraId="6D1C0E90">
      <w:pPr>
        <w:pageBreakBefore w:val="0"/>
        <w:tabs>
          <w:tab w:val="left" w:pos="180"/>
        </w:tabs>
        <w:kinsoku/>
        <w:wordWrap/>
        <w:overflowPunct/>
        <w:topLinePunct w:val="0"/>
        <w:bidi w:val="0"/>
        <w:spacing w:line="360" w:lineRule="auto"/>
        <w:ind w:left="-2" w:leftChars="-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本保险有效期内，由于增减被保险人产生的保费变化，甲、乙双方应通过银行转账方式划至对方指定的银行账户。</w:t>
      </w:r>
    </w:p>
    <w:p w14:paraId="02ACF934">
      <w:pPr>
        <w:pageBreakBefore w:val="0"/>
        <w:tabs>
          <w:tab w:val="left" w:pos="180"/>
        </w:tabs>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账户信息如下：</w:t>
      </w:r>
    </w:p>
    <w:p w14:paraId="005C0017">
      <w:pPr>
        <w:pageBreakBefore w:val="0"/>
        <w:kinsoku/>
        <w:wordWrap/>
        <w:overflowPunct/>
        <w:topLinePunct w:val="0"/>
        <w:bidi w:val="0"/>
        <w:adjustRightInd w:val="0"/>
        <w:snapToGrid w:val="0"/>
        <w:spacing w:before="100" w:after="120" w:line="360" w:lineRule="auto"/>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账户名：</w:t>
      </w:r>
      <w:r>
        <w:rPr>
          <w:rFonts w:hint="eastAsia" w:asciiTheme="minorEastAsia" w:hAnsiTheme="minorEastAsia" w:eastAsiaTheme="minorEastAsia" w:cstheme="minorEastAsia"/>
          <w:sz w:val="21"/>
          <w:szCs w:val="21"/>
          <w:u w:val="single"/>
        </w:rPr>
        <w:t xml:space="preserve">                                         </w:t>
      </w:r>
    </w:p>
    <w:p w14:paraId="5F7763B7">
      <w:pPr>
        <w:pageBreakBefore w:val="0"/>
        <w:kinsoku/>
        <w:wordWrap/>
        <w:overflowPunct/>
        <w:topLinePunct w:val="0"/>
        <w:bidi w:val="0"/>
        <w:adjustRightInd w:val="0"/>
        <w:snapToGrid w:val="0"/>
        <w:spacing w:before="100" w:after="12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sz w:val="21"/>
          <w:szCs w:val="21"/>
          <w:u w:val="single"/>
        </w:rPr>
        <w:t xml:space="preserve">                                       </w:t>
      </w:r>
    </w:p>
    <w:p w14:paraId="65389F6C">
      <w:pPr>
        <w:pageBreakBefore w:val="0"/>
        <w:kinsoku/>
        <w:wordWrap/>
        <w:overflowPunct/>
        <w:topLinePunct w:val="0"/>
        <w:bidi w:val="0"/>
        <w:adjustRightInd w:val="0"/>
        <w:snapToGrid w:val="0"/>
        <w:spacing w:before="100" w:after="12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w:t>
      </w:r>
      <w:r>
        <w:rPr>
          <w:rFonts w:hint="eastAsia" w:asciiTheme="minorEastAsia" w:hAnsiTheme="minorEastAsia" w:eastAsiaTheme="minorEastAsia" w:cstheme="minorEastAsia"/>
          <w:sz w:val="21"/>
          <w:szCs w:val="21"/>
          <w:u w:val="single"/>
        </w:rPr>
        <w:t xml:space="preserve">                                           </w:t>
      </w:r>
    </w:p>
    <w:p w14:paraId="0EAF34FA">
      <w:pPr>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保险公司账户信息如下：</w:t>
      </w:r>
    </w:p>
    <w:p w14:paraId="2235D554">
      <w:pPr>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账户名：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14:paraId="26679B22">
      <w:pPr>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开户行：</w:t>
      </w:r>
      <w:r>
        <w:rPr>
          <w:rFonts w:hint="eastAsia" w:asciiTheme="minorEastAsia" w:hAnsiTheme="minorEastAsia" w:eastAsiaTheme="minorEastAsia" w:cstheme="minorEastAsia"/>
          <w:sz w:val="21"/>
          <w:szCs w:val="21"/>
          <w:u w:val="single"/>
        </w:rPr>
        <w:t xml:space="preserve">                      </w:t>
      </w:r>
    </w:p>
    <w:p w14:paraId="46CDEE41">
      <w:pPr>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14:paraId="2FB75A60">
      <w:pPr>
        <w:pStyle w:val="2"/>
        <w:pageBreakBefore w:val="0"/>
        <w:numPr>
          <w:ilvl w:val="0"/>
          <w:numId w:val="8"/>
        </w:numPr>
        <w:kinsoku/>
        <w:wordWrap/>
        <w:overflowPunct/>
        <w:topLinePunct w:val="0"/>
        <w:bidi w:val="0"/>
        <w:spacing w:after="120"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附则</w:t>
      </w:r>
    </w:p>
    <w:p w14:paraId="08FBDA00">
      <w:pPr>
        <w:pageBreakBefore w:val="0"/>
        <w:kinsoku/>
        <w:wordWrap/>
        <w:overflowPunct/>
        <w:topLinePunct w:val="0"/>
        <w:autoSpaceDE w:val="0"/>
        <w:autoSpaceDN w:val="0"/>
        <w:bidi w:val="0"/>
        <w:adjustRightInd w:val="0"/>
        <w:spacing w:line="360" w:lineRule="auto"/>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一、</w:t>
      </w:r>
      <w:r>
        <w:rPr>
          <w:rFonts w:hint="eastAsia" w:asciiTheme="minorEastAsia" w:hAnsiTheme="minorEastAsia" w:eastAsiaTheme="minorEastAsia" w:cstheme="minorEastAsia"/>
          <w:color w:val="000000"/>
          <w:sz w:val="21"/>
          <w:szCs w:val="21"/>
        </w:rPr>
        <w:t>本协议中门诊、住院保险是以现行的《北京市基本医疗保险规定》、《北京市基本医疗就医管理暂行办法》、《北京市基本医疗结算办法》、《北京市基本医疗保险用药报销目录》、《北京市基本医疗保险诊疗项目报销目录》及《北京市基本医疗保险医疗设施目录》等为依据，在本协议及乙方保险条款中与上述管理规定不相符的，以上述管理规定为准，若政府有新颁布政策文件或有调整则以新文件或新规定为准。</w:t>
      </w:r>
    </w:p>
    <w:p w14:paraId="181C3EA1">
      <w:pPr>
        <w:pageBreakBefore w:val="0"/>
        <w:kinsoku/>
        <w:wordWrap/>
        <w:overflowPunct/>
        <w:topLinePunct w:val="0"/>
        <w:autoSpaceDE w:val="0"/>
        <w:autoSpaceDN w:val="0"/>
        <w:bidi w:val="0"/>
        <w:adjustRightInd w:val="0"/>
        <w:spacing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w:t>
      </w:r>
      <w:r>
        <w:rPr>
          <w:rFonts w:hint="eastAsia" w:asciiTheme="minorEastAsia" w:hAnsiTheme="minorEastAsia" w:eastAsiaTheme="minorEastAsia" w:cstheme="minorEastAsia"/>
          <w:b/>
          <w:bCs/>
          <w:color w:val="000000"/>
          <w:sz w:val="21"/>
          <w:szCs w:val="21"/>
        </w:rPr>
        <w:t>、</w:t>
      </w:r>
      <w:r>
        <w:rPr>
          <w:rFonts w:hint="eastAsia" w:asciiTheme="minorEastAsia" w:hAnsiTheme="minorEastAsia" w:eastAsiaTheme="minorEastAsia" w:cstheme="minorEastAsia"/>
          <w:color w:val="000000"/>
          <w:sz w:val="21"/>
          <w:szCs w:val="21"/>
        </w:rPr>
        <w:t>本协议为对条款内容的补充，对协议履行过程中的未尽事宜，双方应及时协商，达成补充协议后执行。</w:t>
      </w:r>
    </w:p>
    <w:p w14:paraId="5AC0608B">
      <w:pPr>
        <w:pageBreakBefore w:val="0"/>
        <w:kinsoku/>
        <w:wordWrap/>
        <w:overflowPunct/>
        <w:topLinePunct w:val="0"/>
        <w:autoSpaceDE w:val="0"/>
        <w:autoSpaceDN w:val="0"/>
        <w:bidi w:val="0"/>
        <w:adjustRightInd w:val="0"/>
        <w:spacing w:line="360" w:lineRule="auto"/>
        <w:ind w:firstLine="422"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三、</w:t>
      </w:r>
      <w:r>
        <w:rPr>
          <w:rFonts w:hint="eastAsia" w:asciiTheme="minorEastAsia" w:hAnsiTheme="minorEastAsia" w:eastAsiaTheme="minorEastAsia" w:cstheme="minorEastAsia"/>
          <w:color w:val="000000"/>
          <w:sz w:val="21"/>
          <w:szCs w:val="21"/>
        </w:rPr>
        <w:t>如遇国家或北京市政府正式发布的相关政策及法律、法规发生变化，对协议的执行发生</w:t>
      </w:r>
      <w:r>
        <w:rPr>
          <w:rFonts w:hint="eastAsia" w:asciiTheme="minorEastAsia" w:hAnsiTheme="minorEastAsia" w:eastAsiaTheme="minorEastAsia" w:cstheme="minorEastAsia"/>
          <w:sz w:val="21"/>
          <w:szCs w:val="21"/>
        </w:rPr>
        <w:t>重大影响，双方须以国家或北京市政府的政策、法律、法规为准，对本协议进行修改或签订补充协议。</w:t>
      </w:r>
    </w:p>
    <w:p w14:paraId="0B94E47E">
      <w:pPr>
        <w:pageBreakBefore w:val="0"/>
        <w:kinsoku/>
        <w:wordWrap/>
        <w:overflowPunct/>
        <w:topLinePunct w:val="0"/>
        <w:autoSpaceDE w:val="0"/>
        <w:autoSpaceDN w:val="0"/>
        <w:bidi w:val="0"/>
        <w:adjustRightInd w:val="0"/>
        <w:spacing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bCs w:val="0"/>
          <w:sz w:val="21"/>
          <w:szCs w:val="21"/>
        </w:rPr>
        <w:t>四</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协议双方均有对因签署和履行本协议而从对方获得或接触到的信息（保密信息）保密的义务。 保密信息包括甲方提供的有关被保险人的信息，投保相关信息，有关甲方产品、服务、商业、运作或客户信息、资料或数据，以及本协议的存在和条款内容，不论这些文件或资料是否被标识为“保密”字样</w:t>
      </w:r>
      <w:r>
        <w:rPr>
          <w:rFonts w:hint="eastAsia" w:asciiTheme="minorEastAsia" w:hAnsiTheme="minorEastAsia" w:eastAsiaTheme="minorEastAsia" w:cstheme="minorEastAsia"/>
          <w:color w:val="000000"/>
          <w:sz w:val="21"/>
          <w:szCs w:val="21"/>
        </w:rPr>
        <w:t>。</w:t>
      </w:r>
    </w:p>
    <w:p w14:paraId="6541ACCC">
      <w:pPr>
        <w:pageBreakBefore w:val="0"/>
        <w:kinsoku/>
        <w:wordWrap/>
        <w:overflowPunct/>
        <w:topLinePunct w:val="0"/>
        <w:autoSpaceDE w:val="0"/>
        <w:autoSpaceDN w:val="0"/>
        <w:bidi w:val="0"/>
        <w:adjustRightInd w:val="0"/>
        <w:spacing w:line="360" w:lineRule="auto"/>
        <w:ind w:firstLine="420" w:firstLineChars="200"/>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val="0"/>
          <w:bCs w:val="0"/>
          <w:color w:val="000000"/>
          <w:sz w:val="21"/>
          <w:szCs w:val="21"/>
        </w:rPr>
        <w:t>五</w:t>
      </w:r>
      <w:r>
        <w:rPr>
          <w:rFonts w:hint="eastAsia" w:asciiTheme="minorEastAsia" w:hAnsiTheme="minorEastAsia" w:eastAsiaTheme="minorEastAsia" w:cstheme="minorEastAsia"/>
          <w:b/>
          <w:bCs/>
          <w:color w:val="000000"/>
          <w:sz w:val="21"/>
          <w:szCs w:val="21"/>
        </w:rPr>
        <w:t>、</w:t>
      </w:r>
      <w:r>
        <w:rPr>
          <w:rFonts w:hint="eastAsia" w:asciiTheme="minorEastAsia" w:hAnsiTheme="minorEastAsia" w:eastAsiaTheme="minorEastAsia" w:cstheme="minorEastAsia"/>
          <w:color w:val="000000"/>
          <w:sz w:val="21"/>
          <w:szCs w:val="21"/>
        </w:rPr>
        <w:t>本协议一</w:t>
      </w:r>
      <w:r>
        <w:rPr>
          <w:rFonts w:hint="eastAsia" w:asciiTheme="minorEastAsia" w:hAnsiTheme="minorEastAsia" w:eastAsiaTheme="minorEastAsia" w:cstheme="minorEastAsia"/>
          <w:color w:val="000000"/>
          <w:sz w:val="21"/>
          <w:szCs w:val="21"/>
          <w:lang w:val="en-US" w:eastAsia="zh-CN"/>
        </w:rPr>
        <w:t>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四</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份，具有同等效力，甲</w:t>
      </w:r>
      <w:r>
        <w:rPr>
          <w:rFonts w:hint="eastAsia" w:asciiTheme="minorEastAsia" w:hAnsiTheme="minorEastAsia" w:eastAsiaTheme="minorEastAsia" w:cstheme="minorEastAsia"/>
          <w:color w:val="000000"/>
          <w:sz w:val="21"/>
          <w:szCs w:val="21"/>
          <w:lang w:val="en-US" w:eastAsia="zh-CN"/>
        </w:rPr>
        <w:t>方执</w:t>
      </w:r>
      <w:r>
        <w:rPr>
          <w:rFonts w:hint="eastAsia" w:asciiTheme="minorEastAsia" w:hAnsiTheme="minorEastAsia" w:eastAsiaTheme="minorEastAsia" w:cstheme="minorEastAsia"/>
          <w:color w:val="000000"/>
          <w:sz w:val="21"/>
          <w:szCs w:val="21"/>
          <w:u w:val="single"/>
          <w:lang w:val="en-US" w:eastAsia="zh-CN"/>
        </w:rPr>
        <w:t xml:space="preserve"> 三 </w:t>
      </w:r>
      <w:r>
        <w:rPr>
          <w:rFonts w:hint="eastAsia" w:asciiTheme="minorEastAsia" w:hAnsiTheme="minorEastAsia" w:eastAsiaTheme="minorEastAsia" w:cstheme="minorEastAsia"/>
          <w:color w:val="000000"/>
          <w:sz w:val="21"/>
          <w:szCs w:val="21"/>
          <w:lang w:val="en-US" w:eastAsia="zh-CN"/>
        </w:rPr>
        <w:t>份</w:t>
      </w:r>
      <w:r>
        <w:rPr>
          <w:rFonts w:hint="eastAsia" w:asciiTheme="minorEastAsia" w:hAnsiTheme="minorEastAsia" w:eastAsiaTheme="minorEastAsia" w:cstheme="minorEastAsia"/>
          <w:color w:val="000000"/>
          <w:sz w:val="21"/>
          <w:szCs w:val="21"/>
        </w:rPr>
        <w:t>乙方执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份。</w:t>
      </w:r>
    </w:p>
    <w:p w14:paraId="19558028">
      <w:pPr>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color w:val="000000"/>
          <w:sz w:val="21"/>
          <w:szCs w:val="21"/>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14:paraId="3E63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7" w:hRule="atLeast"/>
        </w:trPr>
        <w:tc>
          <w:tcPr>
            <w:tcW w:w="4261" w:type="dxa"/>
            <w:tcBorders>
              <w:tl2br w:val="nil"/>
              <w:tr2bl w:val="nil"/>
            </w:tcBorders>
          </w:tcPr>
          <w:p w14:paraId="23ED280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甲方：</w:t>
            </w:r>
          </w:p>
        </w:tc>
        <w:tc>
          <w:tcPr>
            <w:tcW w:w="4261" w:type="dxa"/>
            <w:tcBorders>
              <w:tl2br w:val="nil"/>
              <w:tr2bl w:val="nil"/>
            </w:tcBorders>
          </w:tcPr>
          <w:p w14:paraId="155A271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乙方：</w:t>
            </w:r>
          </w:p>
        </w:tc>
      </w:tr>
      <w:tr w14:paraId="2636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4261" w:type="dxa"/>
            <w:tcBorders>
              <w:tl2br w:val="nil"/>
              <w:tr2bl w:val="nil"/>
            </w:tcBorders>
            <w:vAlign w:val="center"/>
          </w:tcPr>
          <w:p w14:paraId="0834CEDF">
            <w:pPr>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年   月    日（签章）</w:t>
            </w:r>
          </w:p>
        </w:tc>
        <w:tc>
          <w:tcPr>
            <w:tcW w:w="4261" w:type="dxa"/>
            <w:tcBorders>
              <w:tl2br w:val="nil"/>
              <w:tr2bl w:val="nil"/>
            </w:tcBorders>
            <w:vAlign w:val="center"/>
          </w:tcPr>
          <w:p w14:paraId="3895E7F3">
            <w:pPr>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 xml:space="preserve"> 年    月     日（签章）</w:t>
            </w:r>
          </w:p>
        </w:tc>
      </w:tr>
    </w:tbl>
    <w:p w14:paraId="083F8F3B">
      <w:pPr>
        <w:rPr>
          <w:rFonts w:ascii="宋体" w:hAnsi="宋体"/>
          <w:szCs w:val="21"/>
        </w:rPr>
      </w:pPr>
      <w:r>
        <w:rPr>
          <w:rFonts w:hint="eastAsia" w:ascii="宋体" w:hAnsi="宋体"/>
          <w:szCs w:val="21"/>
        </w:rPr>
        <w:br w:type="page"/>
      </w:r>
    </w:p>
    <w:p w14:paraId="61419646">
      <w:pPr>
        <w:pStyle w:val="22"/>
      </w:pPr>
    </w:p>
    <w:p w14:paraId="4B3B1561">
      <w:pPr>
        <w:spacing w:line="360" w:lineRule="auto"/>
        <w:ind w:firstLine="420" w:firstLineChars="200"/>
        <w:rPr>
          <w:rFonts w:ascii="宋体" w:hAnsi="宋体"/>
          <w:szCs w:val="21"/>
        </w:rPr>
      </w:pPr>
    </w:p>
    <w:p w14:paraId="23A044D6">
      <w:pPr>
        <w:spacing w:line="360" w:lineRule="auto"/>
        <w:ind w:firstLine="420" w:firstLineChars="200"/>
        <w:rPr>
          <w:rFonts w:ascii="宋体" w:hAnsi="宋体"/>
          <w:szCs w:val="21"/>
        </w:rPr>
      </w:pPr>
    </w:p>
    <w:p w14:paraId="57F28F97">
      <w:pPr>
        <w:spacing w:line="360" w:lineRule="auto"/>
        <w:ind w:firstLine="420" w:firstLineChars="200"/>
        <w:rPr>
          <w:rFonts w:ascii="宋体" w:hAnsi="宋体"/>
          <w:szCs w:val="21"/>
        </w:rPr>
      </w:pPr>
    </w:p>
    <w:p w14:paraId="5CB491AB">
      <w:pPr>
        <w:spacing w:line="360" w:lineRule="auto"/>
        <w:ind w:firstLine="420" w:firstLineChars="200"/>
        <w:rPr>
          <w:rFonts w:ascii="宋体" w:hAnsi="宋体"/>
          <w:szCs w:val="21"/>
        </w:rPr>
      </w:pPr>
    </w:p>
    <w:p w14:paraId="6523F0A6">
      <w:pPr>
        <w:spacing w:line="360" w:lineRule="auto"/>
        <w:ind w:firstLine="420" w:firstLineChars="200"/>
        <w:rPr>
          <w:rFonts w:ascii="宋体" w:hAnsi="宋体"/>
          <w:szCs w:val="21"/>
        </w:rPr>
      </w:pPr>
    </w:p>
    <w:p w14:paraId="363787DF">
      <w:pPr>
        <w:spacing w:line="360" w:lineRule="auto"/>
        <w:ind w:firstLine="420" w:firstLineChars="200"/>
        <w:rPr>
          <w:rFonts w:ascii="宋体" w:hAnsi="宋体"/>
          <w:szCs w:val="21"/>
        </w:rPr>
      </w:pPr>
    </w:p>
    <w:p w14:paraId="79DCB64B">
      <w:pPr>
        <w:spacing w:line="360" w:lineRule="auto"/>
        <w:ind w:firstLine="420" w:firstLineChars="200"/>
        <w:rPr>
          <w:rFonts w:ascii="宋体" w:hAnsi="宋体"/>
          <w:szCs w:val="21"/>
        </w:rPr>
      </w:pPr>
    </w:p>
    <w:p w14:paraId="6F525524">
      <w:pPr>
        <w:spacing w:line="360" w:lineRule="auto"/>
        <w:ind w:firstLine="420" w:firstLineChars="200"/>
        <w:rPr>
          <w:rFonts w:ascii="宋体" w:hAnsi="宋体"/>
          <w:szCs w:val="21"/>
        </w:rPr>
      </w:pPr>
    </w:p>
    <w:p w14:paraId="0AB247A9">
      <w:pPr>
        <w:pStyle w:val="39"/>
        <w:numPr>
          <w:ilvl w:val="0"/>
          <w:numId w:val="1"/>
        </w:numPr>
        <w:spacing w:line="360" w:lineRule="auto"/>
        <w:ind w:left="1276" w:hanging="1276" w:firstLineChars="0"/>
        <w:jc w:val="center"/>
        <w:outlineLvl w:val="0"/>
        <w:rPr>
          <w:rFonts w:ascii="宋体" w:hAnsi="宋体"/>
          <w:b/>
          <w:sz w:val="44"/>
          <w:szCs w:val="44"/>
        </w:rPr>
      </w:pPr>
      <w:bookmarkStart w:id="222" w:name="_Toc694"/>
      <w:bookmarkStart w:id="223" w:name="_Toc30738"/>
      <w:r>
        <w:rPr>
          <w:rFonts w:hint="eastAsia" w:ascii="宋体" w:hAnsi="宋体"/>
          <w:b/>
          <w:sz w:val="44"/>
          <w:szCs w:val="44"/>
        </w:rPr>
        <w:t>附件</w:t>
      </w:r>
      <w:r>
        <w:rPr>
          <w:rFonts w:ascii="宋体" w:hAnsi="宋体"/>
          <w:b/>
          <w:sz w:val="44"/>
          <w:szCs w:val="44"/>
        </w:rPr>
        <w:t>—</w:t>
      </w:r>
      <w:r>
        <w:rPr>
          <w:rFonts w:hint="eastAsia" w:ascii="宋体" w:hAnsi="宋体"/>
          <w:b/>
          <w:sz w:val="44"/>
          <w:szCs w:val="44"/>
        </w:rPr>
        <w:t>响应文件格式</w:t>
      </w:r>
      <w:bookmarkEnd w:id="222"/>
      <w:bookmarkEnd w:id="223"/>
    </w:p>
    <w:p w14:paraId="178AE209">
      <w:pPr>
        <w:spacing w:line="360" w:lineRule="auto"/>
        <w:ind w:firstLine="420" w:firstLineChars="200"/>
        <w:rPr>
          <w:rFonts w:ascii="宋体" w:hAnsi="宋体"/>
          <w:szCs w:val="21"/>
        </w:rPr>
      </w:pPr>
    </w:p>
    <w:p w14:paraId="705681F8">
      <w:pPr>
        <w:spacing w:line="360" w:lineRule="auto"/>
        <w:ind w:firstLine="420" w:firstLineChars="200"/>
        <w:rPr>
          <w:rFonts w:ascii="宋体" w:hAnsi="宋体"/>
          <w:szCs w:val="21"/>
        </w:rPr>
      </w:pPr>
      <w:r>
        <w:rPr>
          <w:rFonts w:ascii="宋体" w:hAnsi="宋体"/>
          <w:szCs w:val="21"/>
        </w:rPr>
        <w:br w:type="page"/>
      </w:r>
    </w:p>
    <w:p w14:paraId="4361E1FA">
      <w:pPr>
        <w:pStyle w:val="39"/>
        <w:numPr>
          <w:ilvl w:val="0"/>
          <w:numId w:val="10"/>
        </w:numPr>
        <w:tabs>
          <w:tab w:val="left" w:pos="1276"/>
        </w:tabs>
        <w:spacing w:line="360" w:lineRule="auto"/>
        <w:ind w:left="1276" w:hanging="1276" w:firstLineChars="0"/>
        <w:jc w:val="left"/>
        <w:outlineLvl w:val="0"/>
        <w:rPr>
          <w:rFonts w:ascii="宋体" w:hAnsi="宋体"/>
          <w:b/>
          <w:sz w:val="24"/>
          <w:szCs w:val="24"/>
        </w:rPr>
      </w:pPr>
      <w:bookmarkStart w:id="224" w:name="_Toc19634"/>
      <w:bookmarkStart w:id="225" w:name="_Toc26655"/>
      <w:r>
        <w:rPr>
          <w:rFonts w:hint="eastAsia" w:ascii="宋体" w:hAnsi="宋体"/>
          <w:b/>
          <w:sz w:val="24"/>
          <w:szCs w:val="24"/>
        </w:rPr>
        <w:t>报价表</w:t>
      </w:r>
      <w:bookmarkEnd w:id="224"/>
      <w:bookmarkEnd w:id="225"/>
    </w:p>
    <w:p w14:paraId="429490D6">
      <w:pPr>
        <w:spacing w:line="360" w:lineRule="auto"/>
        <w:jc w:val="center"/>
        <w:rPr>
          <w:rFonts w:ascii="宋体" w:hAnsi="宋体"/>
          <w:szCs w:val="21"/>
        </w:rPr>
      </w:pPr>
    </w:p>
    <w:p w14:paraId="20F9F332">
      <w:pPr>
        <w:spacing w:line="360" w:lineRule="auto"/>
        <w:ind w:right="-57" w:rightChars="-27"/>
        <w:rPr>
          <w:szCs w:val="21"/>
        </w:rPr>
      </w:pPr>
      <w:r>
        <w:rPr>
          <w:szCs w:val="21"/>
        </w:rPr>
        <w:t>项目名称：_____________                               项目编号：_____________</w:t>
      </w:r>
    </w:p>
    <w:p w14:paraId="2E3A1725">
      <w:pPr>
        <w:spacing w:line="360" w:lineRule="auto"/>
        <w:ind w:right="-57" w:rightChars="-27"/>
        <w:rPr>
          <w:szCs w:val="21"/>
        </w:rPr>
      </w:pPr>
      <w:r>
        <w:rPr>
          <w:szCs w:val="21"/>
        </w:rPr>
        <w:t xml:space="preserve">单位：人民币元         </w:t>
      </w:r>
    </w:p>
    <w:tbl>
      <w:tblPr>
        <w:tblStyle w:val="25"/>
        <w:tblpPr w:leftFromText="180" w:rightFromText="180" w:vertAnchor="text" w:horzAnchor="page" w:tblpX="1807" w:tblpY="46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14:paraId="7E8C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14:paraId="05A2B552">
            <w:pPr>
              <w:spacing w:line="360" w:lineRule="auto"/>
              <w:ind w:right="-197" w:rightChars="-94"/>
              <w:jc w:val="center"/>
              <w:rPr>
                <w:rFonts w:ascii="宋体" w:hAnsi="宋体"/>
                <w:b/>
                <w:szCs w:val="21"/>
              </w:rPr>
            </w:pPr>
            <w:r>
              <w:rPr>
                <w:rFonts w:hint="eastAsia" w:ascii="宋体" w:hAnsi="宋体"/>
                <w:b/>
                <w:szCs w:val="21"/>
              </w:rPr>
              <w:t>供 应 商</w:t>
            </w:r>
          </w:p>
        </w:tc>
        <w:tc>
          <w:tcPr>
            <w:tcW w:w="6713" w:type="dxa"/>
            <w:shd w:val="clear" w:color="auto" w:fill="auto"/>
            <w:vAlign w:val="center"/>
          </w:tcPr>
          <w:p w14:paraId="1213E8AD">
            <w:pPr>
              <w:spacing w:line="360" w:lineRule="auto"/>
              <w:ind w:right="-197" w:rightChars="-94"/>
              <w:jc w:val="center"/>
              <w:rPr>
                <w:rFonts w:ascii="宋体" w:hAnsi="宋体"/>
                <w:szCs w:val="21"/>
              </w:rPr>
            </w:pPr>
          </w:p>
        </w:tc>
      </w:tr>
      <w:tr w14:paraId="180D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14:paraId="1C92A2D1">
            <w:pPr>
              <w:spacing w:line="360" w:lineRule="auto"/>
              <w:ind w:right="-197" w:rightChars="-94"/>
              <w:jc w:val="center"/>
              <w:rPr>
                <w:rFonts w:ascii="宋体" w:hAnsi="宋体"/>
                <w:b/>
                <w:szCs w:val="21"/>
              </w:rPr>
            </w:pPr>
            <w:r>
              <w:rPr>
                <w:rFonts w:hint="eastAsia" w:ascii="宋体" w:hAnsi="宋体"/>
                <w:b/>
                <w:szCs w:val="21"/>
              </w:rPr>
              <w:t>遴选总</w:t>
            </w:r>
            <w:r>
              <w:rPr>
                <w:rFonts w:ascii="宋体" w:hAnsi="宋体"/>
                <w:b/>
                <w:szCs w:val="21"/>
              </w:rPr>
              <w:t>报价</w:t>
            </w:r>
          </w:p>
          <w:p w14:paraId="3A2E568E">
            <w:pPr>
              <w:spacing w:line="360" w:lineRule="auto"/>
              <w:ind w:right="-197" w:rightChars="-94"/>
              <w:jc w:val="center"/>
              <w:rPr>
                <w:rFonts w:ascii="宋体" w:hAnsi="宋体"/>
                <w:b/>
                <w:szCs w:val="21"/>
              </w:rPr>
            </w:pPr>
            <w:r>
              <w:rPr>
                <w:rFonts w:ascii="宋体" w:hAnsi="宋体"/>
                <w:b/>
                <w:szCs w:val="21"/>
              </w:rPr>
              <w:t>（合同</w:t>
            </w:r>
            <w:r>
              <w:rPr>
                <w:rFonts w:hint="eastAsia" w:ascii="宋体" w:hAnsi="宋体"/>
                <w:b/>
                <w:szCs w:val="21"/>
              </w:rPr>
              <w:t>总</w:t>
            </w:r>
            <w:r>
              <w:rPr>
                <w:rFonts w:ascii="宋体" w:hAnsi="宋体"/>
                <w:b/>
                <w:szCs w:val="21"/>
              </w:rPr>
              <w:t>价）</w:t>
            </w:r>
          </w:p>
        </w:tc>
        <w:tc>
          <w:tcPr>
            <w:tcW w:w="6713" w:type="dxa"/>
            <w:shd w:val="clear" w:color="auto" w:fill="auto"/>
            <w:vAlign w:val="center"/>
          </w:tcPr>
          <w:p w14:paraId="0CEA21F7">
            <w:pPr>
              <w:spacing w:line="360" w:lineRule="auto"/>
              <w:ind w:right="-197" w:rightChars="-94"/>
              <w:jc w:val="left"/>
              <w:rPr>
                <w:rFonts w:hint="default" w:ascii="宋体" w:hAnsi="宋体" w:eastAsia="宋体"/>
                <w:szCs w:val="21"/>
                <w:u w:val="single"/>
                <w:lang w:val="en-US" w:eastAsia="zh-CN"/>
              </w:rPr>
            </w:pPr>
            <w:r>
              <w:rPr>
                <w:rFonts w:ascii="宋体" w:hAnsi="宋体"/>
                <w:szCs w:val="21"/>
              </w:rPr>
              <w:t>大写金额：人民币</w:t>
            </w:r>
            <w:r>
              <w:rPr>
                <w:rFonts w:hint="eastAsia" w:ascii="宋体" w:hAnsi="宋体"/>
                <w:szCs w:val="21"/>
                <w:u w:val="single"/>
                <w:lang w:val="en-US" w:eastAsia="zh-CN"/>
              </w:rPr>
              <w:t xml:space="preserve">              </w:t>
            </w:r>
          </w:p>
          <w:p w14:paraId="54C4722A">
            <w:pPr>
              <w:spacing w:line="360" w:lineRule="auto"/>
              <w:ind w:right="-197" w:rightChars="-94"/>
              <w:jc w:val="left"/>
              <w:rPr>
                <w:rFonts w:hint="default" w:ascii="宋体" w:hAnsi="宋体" w:eastAsia="宋体"/>
                <w:szCs w:val="21"/>
                <w:u w:val="single"/>
                <w:lang w:val="en-US" w:eastAsia="zh-CN"/>
              </w:rPr>
            </w:pPr>
            <w:r>
              <w:rPr>
                <w:rFonts w:ascii="宋体" w:hAnsi="宋体"/>
                <w:szCs w:val="21"/>
              </w:rPr>
              <w:t>小写金额：￥</w:t>
            </w:r>
            <w:r>
              <w:rPr>
                <w:rFonts w:hint="eastAsia" w:ascii="宋体" w:hAnsi="宋体"/>
                <w:szCs w:val="21"/>
                <w:u w:val="single"/>
                <w:lang w:val="en-US" w:eastAsia="zh-CN"/>
              </w:rPr>
              <w:t xml:space="preserve">                  </w:t>
            </w:r>
          </w:p>
        </w:tc>
      </w:tr>
      <w:tr w14:paraId="1371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14:paraId="716B4B74">
            <w:pPr>
              <w:spacing w:line="360" w:lineRule="auto"/>
              <w:ind w:right="-197" w:rightChars="-94"/>
              <w:jc w:val="center"/>
              <w:rPr>
                <w:rFonts w:ascii="宋体" w:hAnsi="宋体"/>
                <w:b/>
                <w:szCs w:val="21"/>
              </w:rPr>
            </w:pPr>
            <w:r>
              <w:rPr>
                <w:rFonts w:ascii="宋体" w:hAnsi="宋体"/>
                <w:b/>
                <w:szCs w:val="21"/>
              </w:rPr>
              <w:t>服务</w:t>
            </w:r>
            <w:r>
              <w:rPr>
                <w:rFonts w:hint="eastAsia" w:ascii="宋体" w:hAnsi="宋体"/>
                <w:b/>
                <w:szCs w:val="21"/>
              </w:rPr>
              <w:t>期</w:t>
            </w:r>
          </w:p>
        </w:tc>
        <w:tc>
          <w:tcPr>
            <w:tcW w:w="6713" w:type="dxa"/>
            <w:shd w:val="clear" w:color="auto" w:fill="auto"/>
            <w:vAlign w:val="center"/>
          </w:tcPr>
          <w:p w14:paraId="4950C05A">
            <w:pPr>
              <w:spacing w:line="360" w:lineRule="auto"/>
              <w:ind w:right="-197" w:rightChars="-94"/>
              <w:jc w:val="center"/>
              <w:rPr>
                <w:rFonts w:ascii="宋体" w:hAnsi="宋体"/>
                <w:szCs w:val="21"/>
              </w:rPr>
            </w:pPr>
          </w:p>
        </w:tc>
      </w:tr>
      <w:tr w14:paraId="7D66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14:paraId="3CA02053">
            <w:pPr>
              <w:spacing w:line="360" w:lineRule="auto"/>
              <w:ind w:right="-197" w:rightChars="-94"/>
              <w:jc w:val="center"/>
              <w:rPr>
                <w:rFonts w:ascii="宋体" w:hAnsi="宋体"/>
                <w:b/>
                <w:szCs w:val="21"/>
              </w:rPr>
            </w:pPr>
            <w:r>
              <w:rPr>
                <w:rFonts w:ascii="宋体" w:hAnsi="宋体"/>
                <w:b/>
                <w:szCs w:val="21"/>
              </w:rPr>
              <w:t>其他声明</w:t>
            </w:r>
          </w:p>
        </w:tc>
        <w:tc>
          <w:tcPr>
            <w:tcW w:w="6713" w:type="dxa"/>
            <w:shd w:val="clear" w:color="auto" w:fill="auto"/>
            <w:vAlign w:val="center"/>
          </w:tcPr>
          <w:p w14:paraId="04062D77">
            <w:pPr>
              <w:spacing w:line="360" w:lineRule="auto"/>
              <w:ind w:right="-197" w:rightChars="-94"/>
              <w:jc w:val="center"/>
              <w:rPr>
                <w:rFonts w:ascii="宋体" w:hAnsi="宋体"/>
                <w:szCs w:val="21"/>
              </w:rPr>
            </w:pPr>
          </w:p>
        </w:tc>
      </w:tr>
    </w:tbl>
    <w:p w14:paraId="652CF0CE">
      <w:pPr>
        <w:spacing w:line="360" w:lineRule="auto"/>
        <w:ind w:right="-57" w:rightChars="-27" w:firstLine="420" w:firstLineChars="200"/>
        <w:rPr>
          <w:color w:val="000000"/>
          <w:szCs w:val="21"/>
        </w:rPr>
      </w:pPr>
    </w:p>
    <w:p w14:paraId="56DF7E57">
      <w:pPr>
        <w:spacing w:line="360" w:lineRule="auto"/>
        <w:ind w:right="-57" w:rightChars="-27" w:firstLine="840" w:firstLineChars="400"/>
        <w:rPr>
          <w:color w:val="000000"/>
          <w:szCs w:val="21"/>
        </w:rPr>
      </w:pPr>
    </w:p>
    <w:p w14:paraId="3E3414FE">
      <w:pPr>
        <w:spacing w:line="360" w:lineRule="auto"/>
        <w:ind w:right="-57" w:rightChars="-27" w:firstLine="840" w:firstLineChars="400"/>
        <w:rPr>
          <w:color w:val="000000"/>
          <w:szCs w:val="21"/>
        </w:rPr>
      </w:pPr>
    </w:p>
    <w:p w14:paraId="78C5DFC1">
      <w:pPr>
        <w:tabs>
          <w:tab w:val="left" w:pos="5580"/>
        </w:tabs>
        <w:spacing w:line="360" w:lineRule="auto"/>
        <w:ind w:left="420"/>
        <w:rPr>
          <w:color w:val="FF0000"/>
          <w:szCs w:val="20"/>
          <w:u w:val="single"/>
        </w:rPr>
      </w:pPr>
    </w:p>
    <w:p w14:paraId="220A05C3">
      <w:pPr>
        <w:spacing w:line="360" w:lineRule="auto"/>
        <w:ind w:left="420"/>
        <w:rPr>
          <w:rFonts w:hint="eastAsia" w:ascii="宋体" w:hAnsi="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5D40C2A9">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30BFB3A8">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u w:val="none"/>
        </w:rPr>
        <w:t>年</w:t>
      </w:r>
      <w:r>
        <w:rPr>
          <w:rFonts w:hint="eastAsia" w:ascii="宋体" w:hAnsi="宋体"/>
          <w:szCs w:val="21"/>
          <w:u w:val="single"/>
          <w:lang w:val="en-US" w:eastAsia="zh-CN"/>
        </w:rPr>
        <w:t xml:space="preserve">    </w:t>
      </w:r>
      <w:r>
        <w:rPr>
          <w:rFonts w:hint="eastAsia" w:ascii="宋体" w:hAnsi="宋体"/>
          <w:szCs w:val="21"/>
          <w:u w:val="none"/>
        </w:rPr>
        <w:t>月</w:t>
      </w:r>
      <w:r>
        <w:rPr>
          <w:rFonts w:hint="eastAsia" w:ascii="宋体" w:hAnsi="宋体"/>
          <w:szCs w:val="21"/>
          <w:u w:val="single"/>
          <w:lang w:val="en-US" w:eastAsia="zh-CN"/>
        </w:rPr>
        <w:t xml:space="preserve">    </w:t>
      </w:r>
      <w:r>
        <w:rPr>
          <w:rFonts w:hint="eastAsia" w:ascii="宋体" w:hAnsi="宋体"/>
          <w:szCs w:val="21"/>
          <w:u w:val="none"/>
        </w:rPr>
        <w:t>日</w:t>
      </w:r>
    </w:p>
    <w:p w14:paraId="402C2C16">
      <w:pPr>
        <w:spacing w:line="360" w:lineRule="auto"/>
        <w:ind w:left="420"/>
        <w:rPr>
          <w:rFonts w:ascii="宋体" w:hAnsi="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7DF5F48D">
      <w:pPr>
        <w:pStyle w:val="39"/>
        <w:tabs>
          <w:tab w:val="left" w:pos="1276"/>
        </w:tabs>
        <w:spacing w:line="360" w:lineRule="auto"/>
        <w:ind w:firstLine="0" w:firstLineChars="0"/>
        <w:jc w:val="left"/>
        <w:outlineLvl w:val="0"/>
        <w:rPr>
          <w:rFonts w:ascii="宋体" w:hAnsi="宋体"/>
          <w:szCs w:val="21"/>
        </w:rPr>
      </w:pPr>
    </w:p>
    <w:p w14:paraId="2657B897">
      <w:pPr>
        <w:pStyle w:val="39"/>
        <w:numPr>
          <w:ilvl w:val="0"/>
          <w:numId w:val="10"/>
        </w:numPr>
        <w:tabs>
          <w:tab w:val="left" w:pos="1276"/>
        </w:tabs>
        <w:spacing w:line="360" w:lineRule="auto"/>
        <w:ind w:left="1276" w:hanging="1276" w:firstLineChars="0"/>
        <w:jc w:val="left"/>
        <w:outlineLvl w:val="0"/>
        <w:rPr>
          <w:rFonts w:ascii="宋体" w:hAnsi="宋体"/>
          <w:szCs w:val="21"/>
        </w:rPr>
      </w:pPr>
      <w:bookmarkStart w:id="226" w:name="_Toc18219"/>
      <w:r>
        <w:rPr>
          <w:rFonts w:ascii="宋体" w:hAnsi="宋体"/>
          <w:b/>
          <w:sz w:val="24"/>
          <w:szCs w:val="24"/>
        </w:rPr>
        <w:t>报价明细表</w:t>
      </w:r>
      <w:bookmarkEnd w:id="226"/>
    </w:p>
    <w:p w14:paraId="6B165459">
      <w:pPr>
        <w:pStyle w:val="39"/>
        <w:tabs>
          <w:tab w:val="left" w:pos="1276"/>
        </w:tabs>
        <w:spacing w:line="360" w:lineRule="auto"/>
        <w:ind w:firstLine="0" w:firstLineChars="0"/>
        <w:jc w:val="left"/>
        <w:outlineLvl w:val="0"/>
        <w:rPr>
          <w:rFonts w:ascii="宋体" w:hAnsi="宋体"/>
          <w:b/>
          <w:sz w:val="24"/>
          <w:szCs w:val="24"/>
        </w:rPr>
      </w:pPr>
    </w:p>
    <w:p w14:paraId="51D3FC7E">
      <w:pPr>
        <w:spacing w:line="360" w:lineRule="auto"/>
        <w:ind w:right="-197" w:rightChars="-94"/>
        <w:rPr>
          <w:rFonts w:ascii="宋体" w:hAnsi="宋体"/>
          <w:szCs w:val="21"/>
        </w:rPr>
      </w:pPr>
      <w:r>
        <w:rPr>
          <w:rFonts w:ascii="宋体" w:hAnsi="宋体"/>
          <w:szCs w:val="21"/>
        </w:rPr>
        <w:t xml:space="preserve">项目名称：                                              </w:t>
      </w:r>
      <w:r>
        <w:rPr>
          <w:rFonts w:hint="eastAsia" w:ascii="宋体" w:hAnsi="宋体"/>
          <w:szCs w:val="21"/>
        </w:rPr>
        <w:t>项目</w:t>
      </w:r>
      <w:r>
        <w:rPr>
          <w:rFonts w:ascii="宋体" w:hAnsi="宋体"/>
          <w:szCs w:val="21"/>
        </w:rPr>
        <w:t>编号：</w:t>
      </w:r>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225"/>
        <w:gridCol w:w="2771"/>
        <w:gridCol w:w="2650"/>
      </w:tblGrid>
      <w:tr w14:paraId="250A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tcPr>
          <w:p w14:paraId="213C863B">
            <w:pPr>
              <w:spacing w:line="360" w:lineRule="auto"/>
              <w:ind w:right="-197" w:rightChars="-94"/>
              <w:jc w:val="center"/>
              <w:rPr>
                <w:b/>
                <w:szCs w:val="21"/>
              </w:rPr>
            </w:pPr>
            <w:r>
              <w:rPr>
                <w:b/>
                <w:szCs w:val="21"/>
              </w:rPr>
              <w:t>序号</w:t>
            </w:r>
          </w:p>
        </w:tc>
        <w:tc>
          <w:tcPr>
            <w:tcW w:w="2225" w:type="dxa"/>
            <w:shd w:val="clear" w:color="auto" w:fill="auto"/>
          </w:tcPr>
          <w:p w14:paraId="0C0881A6">
            <w:pPr>
              <w:spacing w:line="360" w:lineRule="auto"/>
              <w:ind w:right="-197" w:rightChars="-94"/>
              <w:jc w:val="center"/>
              <w:rPr>
                <w:b/>
                <w:szCs w:val="21"/>
              </w:rPr>
            </w:pPr>
            <w:r>
              <w:rPr>
                <w:b/>
                <w:szCs w:val="21"/>
              </w:rPr>
              <w:t>内容</w:t>
            </w:r>
          </w:p>
        </w:tc>
        <w:tc>
          <w:tcPr>
            <w:tcW w:w="2771" w:type="dxa"/>
            <w:shd w:val="clear" w:color="auto" w:fill="auto"/>
          </w:tcPr>
          <w:p w14:paraId="2AD2046D">
            <w:pPr>
              <w:spacing w:line="360" w:lineRule="auto"/>
              <w:ind w:right="-197" w:rightChars="-94"/>
              <w:jc w:val="center"/>
              <w:rPr>
                <w:b/>
                <w:szCs w:val="21"/>
              </w:rPr>
            </w:pPr>
            <w:r>
              <w:rPr>
                <w:b/>
                <w:szCs w:val="21"/>
              </w:rPr>
              <w:t>说明</w:t>
            </w:r>
          </w:p>
        </w:tc>
        <w:tc>
          <w:tcPr>
            <w:tcW w:w="2650" w:type="dxa"/>
          </w:tcPr>
          <w:p w14:paraId="452AB98A">
            <w:pPr>
              <w:spacing w:line="360" w:lineRule="auto"/>
              <w:ind w:right="-197" w:rightChars="-94"/>
              <w:jc w:val="center"/>
              <w:rPr>
                <w:b/>
                <w:szCs w:val="21"/>
              </w:rPr>
            </w:pPr>
            <w:r>
              <w:rPr>
                <w:b/>
                <w:szCs w:val="21"/>
              </w:rPr>
              <w:t>单价</w:t>
            </w:r>
            <w:r>
              <w:rPr>
                <w:rFonts w:hint="eastAsia"/>
                <w:b/>
                <w:szCs w:val="21"/>
                <w:lang w:eastAsia="zh-CN"/>
              </w:rPr>
              <w:t>（</w:t>
            </w:r>
            <w:r>
              <w:rPr>
                <w:rFonts w:hint="eastAsia"/>
                <w:b/>
                <w:szCs w:val="21"/>
                <w:lang w:val="en-US" w:eastAsia="zh-CN"/>
              </w:rPr>
              <w:t>人均保费</w:t>
            </w:r>
            <w:r>
              <w:rPr>
                <w:rFonts w:hint="eastAsia"/>
                <w:b/>
                <w:szCs w:val="21"/>
                <w:lang w:eastAsia="zh-CN"/>
              </w:rPr>
              <w:t>）</w:t>
            </w:r>
            <w:r>
              <w:rPr>
                <w:b/>
                <w:szCs w:val="21"/>
              </w:rPr>
              <w:t>（元）</w:t>
            </w:r>
          </w:p>
        </w:tc>
      </w:tr>
      <w:tr w14:paraId="3211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tcPr>
          <w:p w14:paraId="69F5A6B7">
            <w:pPr>
              <w:spacing w:line="360" w:lineRule="auto"/>
              <w:ind w:right="-197" w:rightChars="-94"/>
              <w:jc w:val="center"/>
              <w:rPr>
                <w:szCs w:val="21"/>
              </w:rPr>
            </w:pPr>
            <w:r>
              <w:rPr>
                <w:szCs w:val="21"/>
              </w:rPr>
              <w:t>1</w:t>
            </w:r>
          </w:p>
        </w:tc>
        <w:tc>
          <w:tcPr>
            <w:tcW w:w="2225" w:type="dxa"/>
            <w:shd w:val="clear" w:color="auto" w:fill="auto"/>
            <w:vAlign w:val="center"/>
          </w:tcPr>
          <w:p w14:paraId="63ACCA0D">
            <w:pPr>
              <w:pageBreakBefore w:val="0"/>
              <w:kinsoku/>
              <w:wordWrap/>
              <w:overflowPunct/>
              <w:topLinePunct w:val="0"/>
              <w:autoSpaceDE w:val="0"/>
              <w:autoSpaceDN w:val="0"/>
              <w:bidi w:val="0"/>
              <w:adjustRightInd w:val="0"/>
              <w:spacing w:line="360" w:lineRule="auto"/>
              <w:jc w:val="center"/>
              <w:textAlignment w:val="auto"/>
              <w:rPr>
                <w:szCs w:val="21"/>
                <w:highlight w:val="none"/>
              </w:rPr>
            </w:pPr>
            <w:r>
              <w:rPr>
                <w:rFonts w:hint="eastAsia" w:asciiTheme="minorEastAsia" w:hAnsiTheme="minorEastAsia" w:eastAsiaTheme="minorEastAsia" w:cstheme="minorEastAsia"/>
                <w:b/>
                <w:sz w:val="21"/>
                <w:szCs w:val="21"/>
                <w:highlight w:val="none"/>
              </w:rPr>
              <w:t>补充医疗</w:t>
            </w:r>
          </w:p>
        </w:tc>
        <w:tc>
          <w:tcPr>
            <w:tcW w:w="2771" w:type="dxa"/>
            <w:shd w:val="clear" w:color="auto" w:fill="auto"/>
          </w:tcPr>
          <w:p w14:paraId="3CEB8BA3">
            <w:pPr>
              <w:spacing w:line="360" w:lineRule="auto"/>
              <w:ind w:right="-197" w:rightChars="-94"/>
              <w:rPr>
                <w:szCs w:val="21"/>
              </w:rPr>
            </w:pPr>
          </w:p>
        </w:tc>
        <w:tc>
          <w:tcPr>
            <w:tcW w:w="2650" w:type="dxa"/>
          </w:tcPr>
          <w:p w14:paraId="4F58F0C5">
            <w:pPr>
              <w:spacing w:line="360" w:lineRule="auto"/>
              <w:ind w:right="-197" w:rightChars="-94"/>
              <w:rPr>
                <w:szCs w:val="21"/>
              </w:rPr>
            </w:pPr>
          </w:p>
        </w:tc>
      </w:tr>
      <w:tr w14:paraId="5204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tcPr>
          <w:p w14:paraId="7AFB067F">
            <w:pPr>
              <w:spacing w:line="360" w:lineRule="auto"/>
              <w:ind w:right="-197" w:rightChars="-94"/>
              <w:jc w:val="center"/>
              <w:rPr>
                <w:szCs w:val="21"/>
              </w:rPr>
            </w:pPr>
            <w:r>
              <w:rPr>
                <w:szCs w:val="21"/>
              </w:rPr>
              <w:t>2</w:t>
            </w:r>
          </w:p>
        </w:tc>
        <w:tc>
          <w:tcPr>
            <w:tcW w:w="2225" w:type="dxa"/>
            <w:shd w:val="clear" w:color="auto" w:fill="auto"/>
            <w:vAlign w:val="center"/>
          </w:tcPr>
          <w:p w14:paraId="383CB4BA">
            <w:pPr>
              <w:pageBreakBefore w:val="0"/>
              <w:kinsoku/>
              <w:wordWrap/>
              <w:overflowPunct/>
              <w:topLinePunct w:val="0"/>
              <w:autoSpaceDE w:val="0"/>
              <w:autoSpaceDN w:val="0"/>
              <w:bidi w:val="0"/>
              <w:adjustRightInd w:val="0"/>
              <w:spacing w:line="360" w:lineRule="auto"/>
              <w:jc w:val="center"/>
              <w:textAlignment w:val="auto"/>
              <w:rPr>
                <w:szCs w:val="21"/>
                <w:highlight w:val="none"/>
              </w:rPr>
            </w:pPr>
            <w:r>
              <w:rPr>
                <w:rFonts w:hint="eastAsia" w:asciiTheme="minorEastAsia" w:hAnsiTheme="minorEastAsia" w:eastAsiaTheme="minorEastAsia" w:cstheme="minorEastAsia"/>
                <w:b/>
                <w:sz w:val="21"/>
                <w:szCs w:val="21"/>
                <w:highlight w:val="none"/>
              </w:rPr>
              <w:t>意外伤害</w:t>
            </w:r>
          </w:p>
        </w:tc>
        <w:tc>
          <w:tcPr>
            <w:tcW w:w="2771" w:type="dxa"/>
            <w:shd w:val="clear" w:color="auto" w:fill="auto"/>
          </w:tcPr>
          <w:p w14:paraId="536B3545">
            <w:pPr>
              <w:spacing w:line="360" w:lineRule="auto"/>
              <w:ind w:right="-197" w:rightChars="-94"/>
              <w:rPr>
                <w:szCs w:val="21"/>
              </w:rPr>
            </w:pPr>
          </w:p>
        </w:tc>
        <w:tc>
          <w:tcPr>
            <w:tcW w:w="2650" w:type="dxa"/>
          </w:tcPr>
          <w:p w14:paraId="07C74FD2">
            <w:pPr>
              <w:spacing w:line="360" w:lineRule="auto"/>
              <w:ind w:right="-197" w:rightChars="-94"/>
              <w:rPr>
                <w:szCs w:val="21"/>
              </w:rPr>
            </w:pPr>
          </w:p>
        </w:tc>
      </w:tr>
      <w:tr w14:paraId="6D80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tcPr>
          <w:p w14:paraId="5BD4ADAB">
            <w:pPr>
              <w:spacing w:line="360" w:lineRule="auto"/>
              <w:ind w:right="-197" w:rightChars="-94"/>
              <w:jc w:val="center"/>
              <w:rPr>
                <w:szCs w:val="21"/>
              </w:rPr>
            </w:pPr>
            <w:r>
              <w:rPr>
                <w:szCs w:val="21"/>
              </w:rPr>
              <w:t>3</w:t>
            </w:r>
          </w:p>
        </w:tc>
        <w:tc>
          <w:tcPr>
            <w:tcW w:w="2225" w:type="dxa"/>
            <w:shd w:val="clear" w:color="auto" w:fill="auto"/>
            <w:vAlign w:val="center"/>
          </w:tcPr>
          <w:p w14:paraId="5F966075">
            <w:pPr>
              <w:pageBreakBefore w:val="0"/>
              <w:kinsoku/>
              <w:wordWrap/>
              <w:overflowPunct/>
              <w:topLinePunct w:val="0"/>
              <w:autoSpaceDE w:val="0"/>
              <w:autoSpaceDN w:val="0"/>
              <w:bidi w:val="0"/>
              <w:adjustRightInd w:val="0"/>
              <w:spacing w:line="360" w:lineRule="auto"/>
              <w:jc w:val="center"/>
              <w:textAlignment w:val="auto"/>
              <w:rPr>
                <w:szCs w:val="21"/>
                <w:highlight w:val="none"/>
              </w:rPr>
            </w:pPr>
            <w:r>
              <w:rPr>
                <w:rFonts w:hint="eastAsia" w:asciiTheme="minorEastAsia" w:hAnsiTheme="minorEastAsia" w:eastAsiaTheme="minorEastAsia" w:cstheme="minorEastAsia"/>
                <w:b/>
                <w:sz w:val="21"/>
                <w:szCs w:val="21"/>
                <w:highlight w:val="none"/>
              </w:rPr>
              <w:t>意外医疗</w:t>
            </w:r>
          </w:p>
        </w:tc>
        <w:tc>
          <w:tcPr>
            <w:tcW w:w="2771" w:type="dxa"/>
            <w:shd w:val="clear" w:color="auto" w:fill="auto"/>
          </w:tcPr>
          <w:p w14:paraId="4C586E5C">
            <w:pPr>
              <w:spacing w:line="360" w:lineRule="auto"/>
              <w:ind w:right="-197" w:rightChars="-94"/>
              <w:rPr>
                <w:szCs w:val="21"/>
              </w:rPr>
            </w:pPr>
          </w:p>
        </w:tc>
        <w:tc>
          <w:tcPr>
            <w:tcW w:w="2650" w:type="dxa"/>
          </w:tcPr>
          <w:p w14:paraId="115577E4">
            <w:pPr>
              <w:spacing w:line="360" w:lineRule="auto"/>
              <w:ind w:right="-197" w:rightChars="-94"/>
              <w:rPr>
                <w:szCs w:val="21"/>
              </w:rPr>
            </w:pPr>
          </w:p>
        </w:tc>
      </w:tr>
      <w:tr w14:paraId="41C9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tcPr>
          <w:p w14:paraId="6E18FF6D">
            <w:pPr>
              <w:spacing w:line="360" w:lineRule="auto"/>
              <w:ind w:right="-197" w:rightChars="-94"/>
              <w:jc w:val="center"/>
              <w:rPr>
                <w:szCs w:val="21"/>
              </w:rPr>
            </w:pPr>
            <w:r>
              <w:rPr>
                <w:rFonts w:hint="eastAsia"/>
                <w:szCs w:val="21"/>
              </w:rPr>
              <w:t>4</w:t>
            </w:r>
          </w:p>
        </w:tc>
        <w:tc>
          <w:tcPr>
            <w:tcW w:w="2225" w:type="dxa"/>
            <w:shd w:val="clear" w:color="auto" w:fill="auto"/>
            <w:vAlign w:val="center"/>
          </w:tcPr>
          <w:p w14:paraId="2519E571">
            <w:pPr>
              <w:pageBreakBefore w:val="0"/>
              <w:kinsoku/>
              <w:wordWrap/>
              <w:overflowPunct/>
              <w:topLinePunct w:val="0"/>
              <w:autoSpaceDE w:val="0"/>
              <w:autoSpaceDN w:val="0"/>
              <w:bidi w:val="0"/>
              <w:adjustRightInd w:val="0"/>
              <w:spacing w:line="360" w:lineRule="auto"/>
              <w:jc w:val="center"/>
              <w:textAlignment w:val="auto"/>
              <w:rPr>
                <w:szCs w:val="21"/>
                <w:highlight w:val="none"/>
              </w:rPr>
            </w:pPr>
            <w:r>
              <w:rPr>
                <w:rFonts w:hint="eastAsia" w:asciiTheme="minorEastAsia" w:hAnsiTheme="minorEastAsia" w:eastAsiaTheme="minorEastAsia" w:cstheme="minorEastAsia"/>
                <w:b/>
                <w:sz w:val="21"/>
                <w:szCs w:val="21"/>
                <w:highlight w:val="none"/>
              </w:rPr>
              <w:t>重大疾病</w:t>
            </w:r>
          </w:p>
        </w:tc>
        <w:tc>
          <w:tcPr>
            <w:tcW w:w="2771" w:type="dxa"/>
            <w:shd w:val="clear" w:color="auto" w:fill="auto"/>
          </w:tcPr>
          <w:p w14:paraId="55ABD211">
            <w:pPr>
              <w:spacing w:line="360" w:lineRule="auto"/>
              <w:ind w:right="-197" w:rightChars="-94"/>
              <w:rPr>
                <w:szCs w:val="21"/>
              </w:rPr>
            </w:pPr>
          </w:p>
        </w:tc>
        <w:tc>
          <w:tcPr>
            <w:tcW w:w="2650" w:type="dxa"/>
          </w:tcPr>
          <w:p w14:paraId="04521095">
            <w:pPr>
              <w:spacing w:line="360" w:lineRule="auto"/>
              <w:ind w:right="-197" w:rightChars="-94"/>
              <w:rPr>
                <w:szCs w:val="21"/>
              </w:rPr>
            </w:pPr>
          </w:p>
        </w:tc>
      </w:tr>
      <w:tr w14:paraId="52B9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tcPr>
          <w:p w14:paraId="76D14B63">
            <w:pPr>
              <w:spacing w:line="360" w:lineRule="auto"/>
              <w:ind w:right="-197" w:rightChars="-94"/>
              <w:jc w:val="center"/>
              <w:rPr>
                <w:rFonts w:hint="eastAsia" w:eastAsia="宋体"/>
                <w:szCs w:val="21"/>
                <w:lang w:eastAsia="zh-CN"/>
              </w:rPr>
            </w:pPr>
            <w:r>
              <w:rPr>
                <w:rFonts w:hint="eastAsia"/>
                <w:szCs w:val="21"/>
                <w:lang w:val="en-US" w:eastAsia="zh-CN"/>
              </w:rPr>
              <w:t>5</w:t>
            </w:r>
          </w:p>
        </w:tc>
        <w:tc>
          <w:tcPr>
            <w:tcW w:w="2225" w:type="dxa"/>
            <w:shd w:val="clear" w:color="auto" w:fill="auto"/>
            <w:vAlign w:val="center"/>
          </w:tcPr>
          <w:p w14:paraId="434DEA7A">
            <w:pPr>
              <w:pageBreakBefore w:val="0"/>
              <w:kinsoku/>
              <w:wordWrap/>
              <w:overflowPunct/>
              <w:topLinePunct w:val="0"/>
              <w:autoSpaceDE w:val="0"/>
              <w:autoSpaceDN w:val="0"/>
              <w:bidi w:val="0"/>
              <w:adjustRightInd w:val="0"/>
              <w:spacing w:line="360" w:lineRule="auto"/>
              <w:jc w:val="center"/>
              <w:textAlignment w:val="auto"/>
              <w:rPr>
                <w:szCs w:val="21"/>
                <w:highlight w:val="none"/>
              </w:rPr>
            </w:pPr>
            <w:r>
              <w:rPr>
                <w:rFonts w:hint="eastAsia" w:asciiTheme="minorEastAsia" w:hAnsiTheme="minorEastAsia" w:eastAsiaTheme="minorEastAsia" w:cstheme="minorEastAsia"/>
                <w:b/>
                <w:sz w:val="21"/>
                <w:szCs w:val="21"/>
                <w:highlight w:val="none"/>
              </w:rPr>
              <w:t>住院津贴</w:t>
            </w:r>
          </w:p>
        </w:tc>
        <w:tc>
          <w:tcPr>
            <w:tcW w:w="2771" w:type="dxa"/>
            <w:shd w:val="clear" w:color="auto" w:fill="auto"/>
          </w:tcPr>
          <w:p w14:paraId="29E37ED9">
            <w:pPr>
              <w:spacing w:line="360" w:lineRule="auto"/>
              <w:ind w:right="-197" w:rightChars="-94"/>
              <w:rPr>
                <w:szCs w:val="21"/>
              </w:rPr>
            </w:pPr>
          </w:p>
        </w:tc>
        <w:tc>
          <w:tcPr>
            <w:tcW w:w="2650" w:type="dxa"/>
          </w:tcPr>
          <w:p w14:paraId="73F793FB">
            <w:pPr>
              <w:spacing w:line="360" w:lineRule="auto"/>
              <w:ind w:right="-197" w:rightChars="-94"/>
              <w:rPr>
                <w:szCs w:val="21"/>
              </w:rPr>
            </w:pPr>
          </w:p>
        </w:tc>
      </w:tr>
      <w:tr w14:paraId="441F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tcPr>
          <w:p w14:paraId="3FABA4C5">
            <w:pPr>
              <w:spacing w:line="360" w:lineRule="auto"/>
              <w:ind w:right="-197" w:rightChars="-94"/>
              <w:jc w:val="center"/>
              <w:rPr>
                <w:rFonts w:hint="default" w:eastAsia="宋体"/>
                <w:szCs w:val="21"/>
                <w:lang w:val="en-US" w:eastAsia="zh-CN"/>
              </w:rPr>
            </w:pPr>
            <w:r>
              <w:rPr>
                <w:rFonts w:hint="eastAsia"/>
                <w:szCs w:val="21"/>
                <w:lang w:val="en-US" w:eastAsia="zh-CN"/>
              </w:rPr>
              <w:t>6</w:t>
            </w:r>
          </w:p>
        </w:tc>
        <w:tc>
          <w:tcPr>
            <w:tcW w:w="2225" w:type="dxa"/>
            <w:shd w:val="clear" w:color="auto" w:fill="auto"/>
            <w:vAlign w:val="center"/>
          </w:tcPr>
          <w:p w14:paraId="410F4AB5">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疾病身故</w:t>
            </w:r>
          </w:p>
        </w:tc>
        <w:tc>
          <w:tcPr>
            <w:tcW w:w="2771" w:type="dxa"/>
            <w:shd w:val="clear" w:color="auto" w:fill="auto"/>
          </w:tcPr>
          <w:p w14:paraId="7039B28B">
            <w:pPr>
              <w:spacing w:line="360" w:lineRule="auto"/>
              <w:ind w:right="-197" w:rightChars="-94"/>
              <w:rPr>
                <w:szCs w:val="21"/>
              </w:rPr>
            </w:pPr>
          </w:p>
        </w:tc>
        <w:tc>
          <w:tcPr>
            <w:tcW w:w="2650" w:type="dxa"/>
          </w:tcPr>
          <w:p w14:paraId="02F37E01">
            <w:pPr>
              <w:spacing w:line="360" w:lineRule="auto"/>
              <w:ind w:right="-197" w:rightChars="-94"/>
              <w:rPr>
                <w:szCs w:val="21"/>
              </w:rPr>
            </w:pPr>
          </w:p>
        </w:tc>
      </w:tr>
      <w:tr w14:paraId="6EAE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tcPr>
          <w:p w14:paraId="27E02043">
            <w:pPr>
              <w:spacing w:line="360" w:lineRule="auto"/>
              <w:ind w:right="-197" w:rightChars="-94"/>
              <w:jc w:val="center"/>
              <w:rPr>
                <w:rFonts w:hint="eastAsia"/>
                <w:szCs w:val="21"/>
                <w:lang w:val="en-US" w:eastAsia="zh-CN"/>
              </w:rPr>
            </w:pPr>
            <w:r>
              <w:rPr>
                <w:rFonts w:hint="eastAsia"/>
                <w:szCs w:val="21"/>
                <w:lang w:val="en-US" w:eastAsia="zh-CN"/>
              </w:rPr>
              <w:t>...</w:t>
            </w:r>
          </w:p>
        </w:tc>
        <w:tc>
          <w:tcPr>
            <w:tcW w:w="2225" w:type="dxa"/>
            <w:shd w:val="clear" w:color="auto" w:fill="auto"/>
            <w:vAlign w:val="center"/>
          </w:tcPr>
          <w:p w14:paraId="55E31287">
            <w:pPr>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rPr>
            </w:pPr>
          </w:p>
        </w:tc>
        <w:tc>
          <w:tcPr>
            <w:tcW w:w="2771" w:type="dxa"/>
            <w:shd w:val="clear" w:color="auto" w:fill="auto"/>
          </w:tcPr>
          <w:p w14:paraId="19A9BFB6">
            <w:pPr>
              <w:spacing w:line="360" w:lineRule="auto"/>
              <w:ind w:right="-197" w:rightChars="-94"/>
              <w:rPr>
                <w:szCs w:val="21"/>
              </w:rPr>
            </w:pPr>
          </w:p>
        </w:tc>
        <w:tc>
          <w:tcPr>
            <w:tcW w:w="2650" w:type="dxa"/>
          </w:tcPr>
          <w:p w14:paraId="71A86D4C">
            <w:pPr>
              <w:spacing w:line="360" w:lineRule="auto"/>
              <w:ind w:right="-197" w:rightChars="-94"/>
              <w:rPr>
                <w:szCs w:val="21"/>
              </w:rPr>
            </w:pPr>
          </w:p>
        </w:tc>
      </w:tr>
    </w:tbl>
    <w:p w14:paraId="6CD88F32">
      <w:pPr>
        <w:spacing w:line="360" w:lineRule="auto"/>
        <w:ind w:right="-57" w:rightChars="-27" w:firstLine="420" w:firstLineChars="200"/>
        <w:rPr>
          <w:color w:val="000000"/>
          <w:szCs w:val="21"/>
        </w:rPr>
      </w:pPr>
    </w:p>
    <w:p w14:paraId="4E8213EB">
      <w:pPr>
        <w:spacing w:line="360" w:lineRule="auto"/>
        <w:ind w:right="-57" w:rightChars="-27" w:firstLine="420" w:firstLineChars="200"/>
        <w:rPr>
          <w:color w:val="000000"/>
          <w:szCs w:val="21"/>
        </w:rPr>
      </w:pPr>
      <w:r>
        <w:rPr>
          <w:color w:val="000000"/>
          <w:szCs w:val="21"/>
        </w:rPr>
        <w:t>注：</w:t>
      </w:r>
      <w:r>
        <w:rPr>
          <w:rFonts w:hint="eastAsia"/>
          <w:color w:val="000000"/>
          <w:szCs w:val="21"/>
        </w:rPr>
        <w:t>1</w:t>
      </w:r>
      <w:r>
        <w:rPr>
          <w:color w:val="000000"/>
          <w:szCs w:val="21"/>
        </w:rPr>
        <w:t>.  如果不提供报价明细表将视为没有实质性响应</w:t>
      </w:r>
      <w:r>
        <w:rPr>
          <w:rFonts w:hint="eastAsia"/>
          <w:color w:val="000000"/>
          <w:szCs w:val="21"/>
        </w:rPr>
        <w:t>遴选</w:t>
      </w:r>
      <w:r>
        <w:rPr>
          <w:color w:val="000000"/>
          <w:szCs w:val="21"/>
        </w:rPr>
        <w:t>文件。</w:t>
      </w:r>
    </w:p>
    <w:p w14:paraId="29E678A3">
      <w:pPr>
        <w:spacing w:line="360" w:lineRule="auto"/>
        <w:ind w:right="-57" w:rightChars="-27" w:firstLine="840" w:firstLineChars="400"/>
        <w:rPr>
          <w:color w:val="000000"/>
          <w:szCs w:val="21"/>
        </w:rPr>
      </w:pPr>
      <w:r>
        <w:rPr>
          <w:rFonts w:hint="eastAsia"/>
          <w:color w:val="000000"/>
          <w:szCs w:val="21"/>
        </w:rPr>
        <w:t>2</w:t>
      </w:r>
      <w:r>
        <w:rPr>
          <w:color w:val="000000"/>
          <w:szCs w:val="21"/>
        </w:rPr>
        <w:t>.  上述报价明细，也可另页描述。</w:t>
      </w:r>
    </w:p>
    <w:p w14:paraId="1E4D403F">
      <w:pPr>
        <w:spacing w:line="360" w:lineRule="auto"/>
        <w:ind w:right="-197" w:rightChars="-94" w:firstLine="420" w:firstLineChars="200"/>
        <w:rPr>
          <w:rFonts w:ascii="宋体" w:hAnsi="宋体"/>
          <w:szCs w:val="21"/>
        </w:rPr>
      </w:pPr>
    </w:p>
    <w:p w14:paraId="2137C03C">
      <w:pPr>
        <w:spacing w:line="360" w:lineRule="auto"/>
        <w:ind w:right="-197" w:rightChars="-94" w:firstLine="420" w:firstLineChars="200"/>
        <w:rPr>
          <w:rFonts w:ascii="宋体" w:hAnsi="宋体"/>
          <w:szCs w:val="21"/>
        </w:rPr>
      </w:pPr>
    </w:p>
    <w:p w14:paraId="3A420728">
      <w:pPr>
        <w:spacing w:line="360" w:lineRule="auto"/>
        <w:ind w:left="420"/>
        <w:rPr>
          <w:rFonts w:hint="eastAsia" w:ascii="宋体" w:hAnsi="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2A5DA206">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3A3F8767">
      <w:pPr>
        <w:spacing w:line="360" w:lineRule="auto"/>
        <w:ind w:right="-197" w:rightChars="-94" w:firstLine="420" w:firstLineChars="200"/>
        <w:rPr>
          <w:rFonts w:ascii="宋体" w:hAnsi="宋体"/>
          <w:szCs w:val="21"/>
        </w:rPr>
        <w:sectPr>
          <w:pgSz w:w="11906" w:h="16838"/>
          <w:pgMar w:top="1440" w:right="1800" w:bottom="1440" w:left="1800" w:header="851" w:footer="992" w:gutter="0"/>
          <w:cols w:space="425" w:num="1"/>
          <w:docGrid w:type="lines" w:linePitch="312" w:charSpace="0"/>
        </w:sect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u w:val="none"/>
        </w:rPr>
        <w:t>年</w:t>
      </w:r>
      <w:r>
        <w:rPr>
          <w:rFonts w:hint="eastAsia" w:ascii="宋体" w:hAnsi="宋体"/>
          <w:szCs w:val="21"/>
          <w:u w:val="single"/>
          <w:lang w:val="en-US" w:eastAsia="zh-CN"/>
        </w:rPr>
        <w:t xml:space="preserve">    </w:t>
      </w:r>
      <w:r>
        <w:rPr>
          <w:rFonts w:hint="eastAsia" w:ascii="宋体" w:hAnsi="宋体"/>
          <w:szCs w:val="21"/>
          <w:u w:val="none"/>
        </w:rPr>
        <w:t>月</w:t>
      </w:r>
      <w:r>
        <w:rPr>
          <w:rFonts w:hint="eastAsia" w:ascii="宋体" w:hAnsi="宋体"/>
          <w:szCs w:val="21"/>
          <w:u w:val="single"/>
          <w:lang w:val="en-US" w:eastAsia="zh-CN"/>
        </w:rPr>
        <w:t xml:space="preserve">    </w:t>
      </w:r>
      <w:r>
        <w:rPr>
          <w:rFonts w:hint="eastAsia" w:ascii="宋体" w:hAnsi="宋体"/>
          <w:szCs w:val="21"/>
          <w:u w:val="none"/>
        </w:rPr>
        <w:t>日</w:t>
      </w:r>
    </w:p>
    <w:p w14:paraId="27FD575C">
      <w:pPr>
        <w:spacing w:line="360" w:lineRule="auto"/>
        <w:ind w:right="600"/>
        <w:jc w:val="center"/>
        <w:rPr>
          <w:rFonts w:ascii="宋体" w:hAnsi="宋体"/>
          <w:szCs w:val="21"/>
        </w:rPr>
      </w:pPr>
    </w:p>
    <w:p w14:paraId="00D155B4">
      <w:pPr>
        <w:pStyle w:val="39"/>
        <w:numPr>
          <w:ilvl w:val="0"/>
          <w:numId w:val="10"/>
        </w:numPr>
        <w:tabs>
          <w:tab w:val="left" w:pos="1276"/>
        </w:tabs>
        <w:spacing w:line="360" w:lineRule="auto"/>
        <w:ind w:firstLineChars="0"/>
        <w:jc w:val="left"/>
        <w:outlineLvl w:val="0"/>
        <w:rPr>
          <w:rFonts w:ascii="宋体" w:hAnsi="宋体"/>
          <w:b/>
          <w:sz w:val="24"/>
          <w:szCs w:val="24"/>
        </w:rPr>
      </w:pPr>
      <w:bookmarkStart w:id="227" w:name="_Toc8544"/>
      <w:bookmarkStart w:id="228" w:name="_Toc6791"/>
      <w:r>
        <w:rPr>
          <w:rFonts w:hint="eastAsia" w:ascii="宋体" w:hAnsi="宋体"/>
          <w:b/>
          <w:sz w:val="24"/>
          <w:szCs w:val="24"/>
        </w:rPr>
        <w:t>营业执照</w:t>
      </w:r>
      <w:bookmarkEnd w:id="227"/>
      <w:bookmarkEnd w:id="228"/>
      <w:r>
        <w:rPr>
          <w:rFonts w:hint="eastAsia" w:ascii="宋体" w:hAnsi="宋体"/>
          <w:b/>
          <w:sz w:val="24"/>
          <w:szCs w:val="24"/>
          <w:lang w:val="en-US" w:eastAsia="zh-CN"/>
        </w:rPr>
        <w:t>及证明材料</w:t>
      </w:r>
    </w:p>
    <w:p w14:paraId="36E6AEEA">
      <w:pPr>
        <w:spacing w:line="360" w:lineRule="auto"/>
        <w:jc w:val="center"/>
        <w:rPr>
          <w:rFonts w:ascii="宋体" w:hAnsi="宋体"/>
          <w:szCs w:val="21"/>
        </w:rPr>
      </w:pPr>
    </w:p>
    <w:p w14:paraId="1B6020C0">
      <w:pPr>
        <w:numPr>
          <w:ilvl w:val="0"/>
          <w:numId w:val="11"/>
        </w:numPr>
        <w:spacing w:line="360" w:lineRule="auto"/>
        <w:ind w:left="440" w:leftChars="0" w:right="600" w:firstLine="0" w:firstLineChars="0"/>
        <w:jc w:val="center"/>
        <w:rPr>
          <w:rFonts w:hint="eastAsia" w:ascii="宋体" w:hAnsi="宋体"/>
          <w:szCs w:val="21"/>
        </w:rPr>
      </w:pPr>
      <w:r>
        <w:rPr>
          <w:rFonts w:hint="eastAsia" w:ascii="宋体" w:hAnsi="宋体"/>
          <w:szCs w:val="21"/>
        </w:rPr>
        <w:t>本项目供应商必须在中华人民共和国境内注册，具有独立法人资格或经总公司授权参与本项目投标的分支机构。本项目允许保险服务机构设立的分支机构参与投标，但同一保险服务机构总公司和其下属分支机构不得同时参加本项目。分支机构参与本项目投标应出具保险服务机构总公司针对本项目出具的授权书。</w:t>
      </w:r>
    </w:p>
    <w:p w14:paraId="42C4ADF0">
      <w:pPr>
        <w:numPr>
          <w:ilvl w:val="0"/>
          <w:numId w:val="0"/>
        </w:numPr>
        <w:spacing w:line="360" w:lineRule="auto"/>
        <w:ind w:left="440" w:leftChars="0" w:right="600" w:rightChars="0"/>
        <w:jc w:val="both"/>
        <w:rPr>
          <w:rFonts w:hint="eastAsia" w:ascii="宋体" w:hAnsi="宋体"/>
          <w:szCs w:val="21"/>
        </w:rPr>
      </w:pPr>
    </w:p>
    <w:p w14:paraId="4E063757">
      <w:pPr>
        <w:numPr>
          <w:ilvl w:val="0"/>
          <w:numId w:val="11"/>
        </w:numPr>
        <w:spacing w:line="360" w:lineRule="auto"/>
        <w:ind w:left="440" w:leftChars="0" w:right="600" w:firstLine="0" w:firstLineChars="0"/>
        <w:jc w:val="center"/>
        <w:rPr>
          <w:rFonts w:hint="eastAsia" w:ascii="宋体" w:hAnsi="宋体"/>
          <w:szCs w:val="21"/>
        </w:rPr>
      </w:pPr>
      <w:r>
        <w:rPr>
          <w:rFonts w:hint="eastAsia" w:ascii="宋体" w:hAnsi="宋体"/>
          <w:szCs w:val="21"/>
        </w:rPr>
        <w:t>供应商必须具有银保监会及其派出机构颁发的有效的《保险许可证》</w:t>
      </w:r>
      <w:r>
        <w:rPr>
          <w:rFonts w:hint="eastAsia" w:ascii="宋体" w:hAnsi="宋体"/>
          <w:szCs w:val="21"/>
          <w:lang w:eastAsia="zh-CN"/>
        </w:rPr>
        <w:t>。</w:t>
      </w:r>
    </w:p>
    <w:p w14:paraId="46146DBF">
      <w:pPr>
        <w:widowControl w:val="0"/>
        <w:numPr>
          <w:ilvl w:val="0"/>
          <w:numId w:val="0"/>
        </w:numPr>
        <w:spacing w:line="360" w:lineRule="auto"/>
        <w:ind w:right="600" w:rightChars="0"/>
        <w:jc w:val="center"/>
        <w:rPr>
          <w:rFonts w:hint="eastAsia" w:ascii="宋体" w:hAnsi="宋体"/>
          <w:szCs w:val="21"/>
          <w:lang w:eastAsia="zh-CN"/>
        </w:rPr>
      </w:pPr>
    </w:p>
    <w:p w14:paraId="0E31545E">
      <w:pPr>
        <w:widowControl w:val="0"/>
        <w:numPr>
          <w:ilvl w:val="0"/>
          <w:numId w:val="0"/>
        </w:numPr>
        <w:spacing w:line="360" w:lineRule="auto"/>
        <w:ind w:right="600" w:rightChars="0"/>
        <w:jc w:val="center"/>
        <w:rPr>
          <w:rFonts w:hint="eastAsia" w:ascii="宋体" w:hAnsi="宋体"/>
          <w:szCs w:val="21"/>
          <w:lang w:eastAsia="zh-CN"/>
        </w:rPr>
      </w:pPr>
    </w:p>
    <w:p w14:paraId="748B239A">
      <w:pPr>
        <w:widowControl w:val="0"/>
        <w:numPr>
          <w:ilvl w:val="0"/>
          <w:numId w:val="0"/>
        </w:numPr>
        <w:spacing w:line="360" w:lineRule="auto"/>
        <w:ind w:right="600" w:rightChars="0"/>
        <w:jc w:val="center"/>
        <w:rPr>
          <w:rFonts w:hint="default" w:ascii="宋体" w:hAnsi="宋体"/>
          <w:szCs w:val="21"/>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szCs w:val="21"/>
          <w:lang w:val="en-US" w:eastAsia="zh-CN"/>
        </w:rPr>
        <w:t>供应商应提供以上证明材料的复印件并加盖公章</w:t>
      </w:r>
    </w:p>
    <w:p w14:paraId="781348CD">
      <w:pPr>
        <w:spacing w:line="360" w:lineRule="auto"/>
        <w:ind w:firstLine="420" w:firstLineChars="200"/>
        <w:rPr>
          <w:rFonts w:ascii="宋体" w:hAnsi="宋体"/>
          <w:szCs w:val="21"/>
        </w:rPr>
      </w:pPr>
    </w:p>
    <w:p w14:paraId="2F027E6D">
      <w:pPr>
        <w:pStyle w:val="39"/>
        <w:numPr>
          <w:ilvl w:val="0"/>
          <w:numId w:val="10"/>
        </w:numPr>
        <w:tabs>
          <w:tab w:val="left" w:pos="1276"/>
        </w:tabs>
        <w:spacing w:line="360" w:lineRule="auto"/>
        <w:ind w:firstLineChars="0"/>
        <w:jc w:val="left"/>
        <w:outlineLvl w:val="0"/>
        <w:rPr>
          <w:rFonts w:ascii="宋体" w:hAnsi="宋体"/>
          <w:b/>
          <w:sz w:val="24"/>
          <w:szCs w:val="24"/>
        </w:rPr>
      </w:pPr>
      <w:bookmarkStart w:id="229" w:name="_Toc30423"/>
      <w:bookmarkStart w:id="230" w:name="_Toc32036"/>
      <w:bookmarkStart w:id="231" w:name="_Toc509308937"/>
      <w:r>
        <w:rPr>
          <w:rFonts w:hint="eastAsia" w:ascii="宋体" w:hAnsi="宋体"/>
          <w:b/>
          <w:sz w:val="24"/>
          <w:szCs w:val="24"/>
        </w:rPr>
        <w:t>声明</w:t>
      </w:r>
      <w:bookmarkEnd w:id="229"/>
      <w:bookmarkEnd w:id="230"/>
      <w:bookmarkEnd w:id="231"/>
    </w:p>
    <w:p w14:paraId="03DC1D94">
      <w:pPr>
        <w:spacing w:line="360" w:lineRule="auto"/>
        <w:ind w:left="420"/>
        <w:rPr>
          <w:rFonts w:ascii="宋体" w:hAnsi="宋体"/>
          <w:szCs w:val="21"/>
        </w:rPr>
      </w:pPr>
    </w:p>
    <w:p w14:paraId="2E746FD8">
      <w:pPr>
        <w:spacing w:line="360" w:lineRule="auto"/>
        <w:ind w:left="420"/>
        <w:rPr>
          <w:rFonts w:ascii="宋体" w:hAnsi="宋体"/>
          <w:szCs w:val="21"/>
        </w:rPr>
      </w:pPr>
      <w:r>
        <w:rPr>
          <w:rFonts w:hint="eastAsia" w:ascii="宋体" w:hAnsi="宋体"/>
          <w:szCs w:val="21"/>
        </w:rPr>
        <w:t>声明内容：</w:t>
      </w:r>
    </w:p>
    <w:p w14:paraId="358BEA4D">
      <w:pPr>
        <w:numPr>
          <w:ilvl w:val="0"/>
          <w:numId w:val="12"/>
        </w:numPr>
        <w:spacing w:line="360" w:lineRule="auto"/>
        <w:ind w:left="1276"/>
        <w:rPr>
          <w:rFonts w:ascii="宋体" w:hAnsi="宋体"/>
          <w:szCs w:val="21"/>
        </w:rPr>
      </w:pPr>
      <w:r>
        <w:rPr>
          <w:rFonts w:hint="eastAsia" w:ascii="宋体" w:hAnsi="宋体"/>
          <w:szCs w:val="21"/>
        </w:rPr>
        <w:t>近三年无处于被责令停业、财产被接管、冻结、破产状态的声明</w:t>
      </w:r>
    </w:p>
    <w:p w14:paraId="3D67D219">
      <w:pPr>
        <w:numPr>
          <w:ilvl w:val="0"/>
          <w:numId w:val="12"/>
        </w:numPr>
        <w:spacing w:line="360" w:lineRule="auto"/>
        <w:ind w:left="1276"/>
        <w:rPr>
          <w:rFonts w:ascii="宋体" w:hAnsi="宋体"/>
          <w:szCs w:val="21"/>
        </w:rPr>
      </w:pPr>
      <w:r>
        <w:rPr>
          <w:rFonts w:hint="eastAsia" w:ascii="宋体" w:hAnsi="宋体"/>
          <w:szCs w:val="21"/>
        </w:rPr>
        <w:t>近三年在经营活动中没有重大违法、违纪、违规记录的声明</w:t>
      </w:r>
    </w:p>
    <w:p w14:paraId="5E0E3D76">
      <w:pPr>
        <w:spacing w:line="360" w:lineRule="auto"/>
        <w:ind w:left="420"/>
        <w:rPr>
          <w:rFonts w:ascii="宋体" w:hAnsi="宋体"/>
          <w:szCs w:val="21"/>
        </w:rPr>
      </w:pPr>
    </w:p>
    <w:p w14:paraId="41AE1CF3">
      <w:pPr>
        <w:spacing w:line="360" w:lineRule="auto"/>
        <w:ind w:left="420"/>
        <w:rPr>
          <w:rFonts w:ascii="宋体" w:hAnsi="宋体"/>
          <w:szCs w:val="21"/>
        </w:rPr>
      </w:pPr>
      <w:r>
        <w:rPr>
          <w:rFonts w:hint="eastAsia" w:ascii="宋体" w:hAnsi="宋体"/>
          <w:szCs w:val="21"/>
        </w:rPr>
        <w:t>注：声明函必须加盖公章，格式自拟。</w:t>
      </w:r>
    </w:p>
    <w:p w14:paraId="493870A9">
      <w:pPr>
        <w:spacing w:line="360" w:lineRule="auto"/>
        <w:ind w:firstLine="420" w:firstLineChars="200"/>
        <w:rPr>
          <w:rFonts w:ascii="宋体" w:hAnsi="宋体"/>
          <w:szCs w:val="21"/>
        </w:rPr>
      </w:pPr>
      <w:r>
        <w:rPr>
          <w:rFonts w:ascii="宋体" w:hAnsi="宋体"/>
          <w:szCs w:val="21"/>
        </w:rPr>
        <w:br w:type="page"/>
      </w:r>
    </w:p>
    <w:p w14:paraId="7CB87796">
      <w:pPr>
        <w:pStyle w:val="39"/>
        <w:numPr>
          <w:ilvl w:val="0"/>
          <w:numId w:val="10"/>
        </w:numPr>
        <w:tabs>
          <w:tab w:val="left" w:pos="1276"/>
        </w:tabs>
        <w:spacing w:line="360" w:lineRule="auto"/>
        <w:ind w:left="1276" w:hanging="1276" w:firstLineChars="0"/>
        <w:jc w:val="left"/>
        <w:outlineLvl w:val="0"/>
        <w:rPr>
          <w:rFonts w:ascii="宋体" w:hAnsi="宋体"/>
          <w:b/>
          <w:sz w:val="24"/>
          <w:szCs w:val="24"/>
        </w:rPr>
      </w:pPr>
      <w:bookmarkStart w:id="232" w:name="_Toc31070"/>
      <w:bookmarkStart w:id="233" w:name="_Toc21929"/>
      <w:bookmarkStart w:id="234" w:name="_Toc509308938"/>
      <w:r>
        <w:rPr>
          <w:rFonts w:hint="eastAsia" w:ascii="宋体" w:hAnsi="宋体"/>
          <w:b/>
          <w:sz w:val="24"/>
          <w:szCs w:val="24"/>
        </w:rPr>
        <w:t>供应商在“信用中国”的信用查询记录</w:t>
      </w:r>
      <w:bookmarkEnd w:id="232"/>
      <w:bookmarkEnd w:id="233"/>
      <w:bookmarkEnd w:id="234"/>
    </w:p>
    <w:p w14:paraId="049F0733">
      <w:pPr>
        <w:spacing w:line="360" w:lineRule="auto"/>
        <w:ind w:left="420"/>
        <w:rPr>
          <w:rFonts w:ascii="宋体" w:hAnsi="宋体"/>
          <w:szCs w:val="21"/>
        </w:rPr>
      </w:pPr>
    </w:p>
    <w:p w14:paraId="4DC44C64">
      <w:pPr>
        <w:spacing w:line="360" w:lineRule="auto"/>
        <w:ind w:right="-57" w:rightChars="-27" w:firstLine="420" w:firstLineChars="200"/>
        <w:rPr>
          <w:rFonts w:ascii="宋体" w:hAnsi="宋体"/>
          <w:color w:val="000000"/>
          <w:szCs w:val="21"/>
        </w:rPr>
      </w:pPr>
      <w:r>
        <w:rPr>
          <w:rFonts w:ascii="宋体" w:hAnsi="宋体"/>
          <w:color w:val="000000"/>
          <w:szCs w:val="21"/>
        </w:rPr>
        <w:t>说明：供应商需提供“信用中国”网站（www.creditchina.gov.cn）的信用信息查询记录截图（须加盖</w:t>
      </w:r>
      <w:r>
        <w:rPr>
          <w:rFonts w:hint="eastAsia" w:ascii="宋体" w:hAnsi="宋体"/>
          <w:color w:val="000000"/>
          <w:szCs w:val="21"/>
        </w:rPr>
        <w:t>供应商</w:t>
      </w:r>
      <w:r>
        <w:rPr>
          <w:rFonts w:ascii="宋体" w:hAnsi="宋体"/>
          <w:color w:val="000000"/>
          <w:szCs w:val="21"/>
        </w:rPr>
        <w:t>公章。此信用信息查询记录截图的截至时点为投标截止时间前3个工作日内）。</w:t>
      </w:r>
    </w:p>
    <w:p w14:paraId="391BC155">
      <w:pPr>
        <w:spacing w:line="360" w:lineRule="auto"/>
        <w:ind w:firstLine="420" w:firstLineChars="200"/>
        <w:jc w:val="left"/>
        <w:rPr>
          <w:rFonts w:ascii="宋体" w:hAnsi="宋体"/>
          <w:color w:val="000000"/>
          <w:szCs w:val="21"/>
        </w:rPr>
      </w:pPr>
      <w:r>
        <w:rPr>
          <w:rFonts w:ascii="宋体" w:hAnsi="宋体"/>
          <w:color w:val="000000"/>
          <w:szCs w:val="21"/>
        </w:rPr>
        <w:t>对未提供该信用信息记录截图的</w:t>
      </w:r>
      <w:r>
        <w:rPr>
          <w:rFonts w:hint="eastAsia" w:ascii="宋体" w:hAnsi="宋体"/>
          <w:color w:val="000000"/>
          <w:szCs w:val="21"/>
        </w:rPr>
        <w:t>供应商</w:t>
      </w:r>
      <w:r>
        <w:rPr>
          <w:rFonts w:ascii="宋体" w:hAnsi="宋体"/>
          <w:color w:val="000000"/>
          <w:szCs w:val="21"/>
        </w:rPr>
        <w:t>，或者已经列入失信被执行人、重大税收违法案件当事人的供应商，没有资格参加本项目的遴选。</w:t>
      </w:r>
    </w:p>
    <w:p w14:paraId="216C3158">
      <w:pPr>
        <w:rPr>
          <w:rFonts w:ascii="宋体" w:hAnsi="宋体"/>
          <w:color w:val="000000"/>
          <w:szCs w:val="21"/>
        </w:rPr>
      </w:pPr>
      <w:r>
        <w:rPr>
          <w:rFonts w:ascii="宋体" w:hAnsi="宋体"/>
          <w:color w:val="000000"/>
          <w:szCs w:val="21"/>
        </w:rPr>
        <w:br w:type="page"/>
      </w:r>
    </w:p>
    <w:p w14:paraId="541D6AC1">
      <w:pPr>
        <w:pStyle w:val="39"/>
        <w:numPr>
          <w:ilvl w:val="0"/>
          <w:numId w:val="10"/>
        </w:numPr>
        <w:tabs>
          <w:tab w:val="left" w:pos="1276"/>
        </w:tabs>
        <w:spacing w:line="360" w:lineRule="auto"/>
        <w:ind w:left="1276" w:hanging="1276" w:firstLineChars="0"/>
        <w:outlineLvl w:val="0"/>
        <w:rPr>
          <w:rFonts w:ascii="宋体" w:hAnsi="宋体"/>
          <w:b/>
          <w:sz w:val="24"/>
          <w:szCs w:val="24"/>
        </w:rPr>
      </w:pPr>
      <w:bookmarkStart w:id="235" w:name="_Toc10770"/>
      <w:bookmarkStart w:id="236" w:name="_Toc20064"/>
      <w:r>
        <w:rPr>
          <w:rFonts w:hint="eastAsia" w:ascii="宋体" w:hAnsi="宋体"/>
          <w:b/>
          <w:sz w:val="24"/>
          <w:szCs w:val="24"/>
        </w:rPr>
        <w:t>法定代表人授权书</w:t>
      </w:r>
      <w:bookmarkEnd w:id="235"/>
      <w:bookmarkEnd w:id="236"/>
    </w:p>
    <w:p w14:paraId="1ABA1A05">
      <w:pPr>
        <w:spacing w:line="360" w:lineRule="auto"/>
        <w:ind w:left="420"/>
        <w:rPr>
          <w:rFonts w:ascii="宋体" w:hAnsi="宋体"/>
          <w:szCs w:val="21"/>
        </w:rPr>
      </w:pPr>
    </w:p>
    <w:p w14:paraId="113C72FB">
      <w:pPr>
        <w:spacing w:line="360" w:lineRule="auto"/>
        <w:ind w:left="420"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（法定代表人姓名） </w:t>
      </w:r>
      <w:r>
        <w:rPr>
          <w:rFonts w:hint="eastAsia" w:ascii="宋体" w:hAnsi="宋体"/>
          <w:szCs w:val="21"/>
        </w:rPr>
        <w:t>系注册于</w:t>
      </w:r>
      <w:r>
        <w:rPr>
          <w:rFonts w:hint="eastAsia" w:ascii="宋体" w:hAnsi="宋体"/>
          <w:szCs w:val="21"/>
          <w:u w:val="single"/>
        </w:rPr>
        <w:t xml:space="preserve"> （供应商地址） </w:t>
      </w:r>
      <w:r>
        <w:rPr>
          <w:rFonts w:hint="eastAsia" w:ascii="宋体" w:hAnsi="宋体"/>
          <w:szCs w:val="21"/>
        </w:rPr>
        <w:t>的</w:t>
      </w:r>
      <w:r>
        <w:rPr>
          <w:rFonts w:hint="eastAsia" w:ascii="宋体" w:hAnsi="宋体"/>
          <w:szCs w:val="21"/>
          <w:u w:val="single"/>
        </w:rPr>
        <w:t xml:space="preserve"> （供应商名称） </w:t>
      </w:r>
      <w:r>
        <w:rPr>
          <w:rFonts w:hint="eastAsia" w:ascii="宋体" w:hAnsi="宋体"/>
          <w:szCs w:val="21"/>
        </w:rPr>
        <w:t>的法定代表人，现代表公司授权下面签字的</w:t>
      </w:r>
      <w:r>
        <w:rPr>
          <w:rFonts w:hint="eastAsia" w:ascii="宋体" w:hAnsi="宋体"/>
          <w:szCs w:val="21"/>
          <w:u w:val="single"/>
        </w:rPr>
        <w:t xml:space="preserve"> （被授权人的姓名、职务） </w:t>
      </w:r>
      <w:r>
        <w:rPr>
          <w:rFonts w:hint="eastAsia" w:ascii="宋体" w:hAnsi="宋体"/>
          <w:szCs w:val="21"/>
        </w:rPr>
        <w:t>为我公司合法代理人，代表本公司参加</w:t>
      </w:r>
      <w:r>
        <w:rPr>
          <w:rFonts w:hint="eastAsia" w:ascii="宋体" w:hAnsi="宋体"/>
          <w:szCs w:val="21"/>
          <w:u w:val="single"/>
        </w:rPr>
        <w:t xml:space="preserve">    （项目名称）   </w:t>
      </w:r>
      <w:r>
        <w:rPr>
          <w:rFonts w:hint="eastAsia" w:ascii="宋体" w:hAnsi="宋体"/>
          <w:szCs w:val="21"/>
        </w:rPr>
        <w:t>的响应活动。代理人在本次响应中所签署的一切文件和处理的一切有关事物，我公司均予承认。</w:t>
      </w:r>
    </w:p>
    <w:p w14:paraId="7CF90D68">
      <w:pPr>
        <w:spacing w:line="360" w:lineRule="auto"/>
        <w:ind w:left="420" w:firstLine="420" w:firstLineChars="200"/>
        <w:rPr>
          <w:rFonts w:ascii="宋体" w:hAnsi="宋体"/>
          <w:szCs w:val="21"/>
        </w:rPr>
      </w:pPr>
    </w:p>
    <w:p w14:paraId="6DAC44C8">
      <w:pPr>
        <w:spacing w:line="420" w:lineRule="atLeast"/>
        <w:ind w:firstLine="840" w:firstLineChars="400"/>
        <w:rPr>
          <w:rFonts w:ascii="宋体" w:hAnsi="宋体"/>
          <w:szCs w:val="21"/>
        </w:rPr>
      </w:pPr>
      <w:r>
        <w:rPr>
          <w:rFonts w:hint="eastAsia" w:ascii="宋体" w:hAnsi="宋体"/>
          <w:szCs w:val="21"/>
        </w:rPr>
        <w:t>本授权书于</w:t>
      </w:r>
      <w:r>
        <w:rPr>
          <w:rFonts w:hint="eastAsia" w:ascii="宋体" w:hAnsi="宋体"/>
          <w:szCs w:val="21"/>
          <w:u w:val="single"/>
          <w:lang w:val="en-US" w:eastAsia="zh-CN"/>
        </w:rPr>
        <w:t xml:space="preserve">      </w:t>
      </w:r>
      <w:r>
        <w:rPr>
          <w:rFonts w:hint="eastAsia" w:ascii="宋体" w:hAnsi="宋体"/>
          <w:szCs w:val="21"/>
          <w:u w:val="single"/>
        </w:rPr>
        <w:t>年</w:t>
      </w:r>
      <w:r>
        <w:rPr>
          <w:rFonts w:hint="eastAsia" w:ascii="宋体" w:hAnsi="宋体"/>
          <w:szCs w:val="21"/>
          <w:u w:val="single"/>
          <w:lang w:val="en-US" w:eastAsia="zh-CN"/>
        </w:rPr>
        <w:t xml:space="preserve">      </w:t>
      </w:r>
      <w:r>
        <w:rPr>
          <w:rFonts w:hint="eastAsia" w:ascii="宋体" w:hAnsi="宋体"/>
          <w:szCs w:val="21"/>
          <w:u w:val="single"/>
        </w:rPr>
        <w:t>月</w:t>
      </w:r>
      <w:r>
        <w:rPr>
          <w:rFonts w:hint="eastAsia" w:ascii="宋体" w:hAnsi="宋体"/>
          <w:szCs w:val="21"/>
          <w:u w:val="single"/>
          <w:lang w:val="en-US" w:eastAsia="zh-CN"/>
        </w:rPr>
        <w:t xml:space="preserve">      </w:t>
      </w:r>
      <w:r>
        <w:rPr>
          <w:rFonts w:hint="eastAsia" w:ascii="宋体" w:hAnsi="宋体"/>
          <w:szCs w:val="21"/>
          <w:u w:val="single"/>
        </w:rPr>
        <w:t>日</w:t>
      </w:r>
      <w:r>
        <w:rPr>
          <w:rFonts w:hint="eastAsia" w:ascii="宋体" w:hAnsi="宋体"/>
          <w:szCs w:val="21"/>
        </w:rPr>
        <w:t>签字生效，特此声明。</w:t>
      </w:r>
    </w:p>
    <w:p w14:paraId="19E5954D">
      <w:pPr>
        <w:spacing w:line="360" w:lineRule="auto"/>
        <w:ind w:left="420" w:firstLine="420" w:firstLineChars="200"/>
        <w:rPr>
          <w:rFonts w:ascii="宋体" w:hAnsi="宋体"/>
          <w:szCs w:val="21"/>
        </w:rPr>
      </w:pPr>
      <w:r>
        <w:rPr>
          <w:rFonts w:hint="eastAsia" w:ascii="宋体" w:hAnsi="宋体"/>
          <w:szCs w:val="21"/>
        </w:rPr>
        <w:t>后附被授权人身份证复印件。</w:t>
      </w:r>
    </w:p>
    <w:p w14:paraId="52D64296">
      <w:pPr>
        <w:spacing w:line="360" w:lineRule="auto"/>
        <w:ind w:left="420"/>
        <w:rPr>
          <w:rFonts w:ascii="宋体" w:hAnsi="宋体"/>
          <w:szCs w:val="21"/>
        </w:rPr>
      </w:pPr>
    </w:p>
    <w:p w14:paraId="44B9C237">
      <w:pPr>
        <w:spacing w:line="360" w:lineRule="auto"/>
        <w:ind w:left="420"/>
        <w:rPr>
          <w:rFonts w:ascii="宋体" w:hAnsi="宋体"/>
          <w:szCs w:val="21"/>
        </w:rPr>
      </w:pPr>
    </w:p>
    <w:p w14:paraId="5EAFBDF8">
      <w:pPr>
        <w:spacing w:line="360" w:lineRule="auto"/>
        <w:ind w:left="420"/>
        <w:rPr>
          <w:rFonts w:ascii="宋体" w:hAnsi="宋体"/>
          <w:szCs w:val="21"/>
        </w:rPr>
      </w:pPr>
    </w:p>
    <w:p w14:paraId="4CEE4197">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3D5DF273">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法定代表人签字：</w:t>
      </w:r>
      <w:r>
        <w:rPr>
          <w:rFonts w:hint="eastAsia" w:ascii="宋体" w:hAnsi="宋体"/>
          <w:szCs w:val="21"/>
          <w:u w:val="single"/>
          <w:lang w:val="en-US" w:eastAsia="zh-CN"/>
        </w:rPr>
        <w:t xml:space="preserve">      </w:t>
      </w:r>
    </w:p>
    <w:p w14:paraId="75A4CACE">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代理人（被授权人）签字：</w:t>
      </w:r>
      <w:r>
        <w:rPr>
          <w:rFonts w:hint="eastAsia" w:ascii="宋体" w:hAnsi="宋体"/>
          <w:szCs w:val="21"/>
          <w:u w:val="single"/>
          <w:lang w:val="en-US" w:eastAsia="zh-CN"/>
        </w:rPr>
        <w:t xml:space="preserve">      </w:t>
      </w:r>
    </w:p>
    <w:p w14:paraId="2EC1757D">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u w:val="none"/>
        </w:rPr>
        <w:t>年</w:t>
      </w:r>
      <w:r>
        <w:rPr>
          <w:rFonts w:hint="eastAsia" w:ascii="宋体" w:hAnsi="宋体"/>
          <w:szCs w:val="21"/>
          <w:u w:val="single"/>
          <w:lang w:val="en-US" w:eastAsia="zh-CN"/>
        </w:rPr>
        <w:t xml:space="preserve">    </w:t>
      </w:r>
      <w:r>
        <w:rPr>
          <w:rFonts w:hint="eastAsia" w:ascii="宋体" w:hAnsi="宋体"/>
          <w:szCs w:val="21"/>
          <w:u w:val="none"/>
        </w:rPr>
        <w:t>月</w:t>
      </w:r>
      <w:r>
        <w:rPr>
          <w:rFonts w:hint="eastAsia" w:ascii="宋体" w:hAnsi="宋体"/>
          <w:szCs w:val="21"/>
          <w:u w:val="single"/>
          <w:lang w:val="en-US" w:eastAsia="zh-CN"/>
        </w:rPr>
        <w:t xml:space="preserve">    </w:t>
      </w:r>
      <w:r>
        <w:rPr>
          <w:rFonts w:hint="eastAsia" w:ascii="宋体" w:hAnsi="宋体"/>
          <w:szCs w:val="21"/>
          <w:u w:val="none"/>
        </w:rPr>
        <w:t>日</w:t>
      </w:r>
    </w:p>
    <w:p w14:paraId="0DF305CF">
      <w:pPr>
        <w:spacing w:line="360" w:lineRule="auto"/>
        <w:ind w:left="420"/>
        <w:rPr>
          <w:rFonts w:ascii="宋体" w:hAnsi="宋体"/>
          <w:szCs w:val="21"/>
        </w:rPr>
      </w:pPr>
    </w:p>
    <w:p w14:paraId="4E617C1B">
      <w:pPr>
        <w:spacing w:line="360" w:lineRule="auto"/>
        <w:ind w:left="420"/>
        <w:rPr>
          <w:rFonts w:ascii="宋体" w:hAnsi="宋体"/>
          <w:szCs w:val="21"/>
        </w:rPr>
      </w:pPr>
      <w:r>
        <w:rPr>
          <w:rFonts w:ascii="宋体" w:hAnsi="宋体"/>
          <w:szCs w:val="21"/>
        </w:rPr>
        <w:br w:type="page"/>
      </w:r>
    </w:p>
    <w:p w14:paraId="492C881C">
      <w:pPr>
        <w:pStyle w:val="39"/>
        <w:numPr>
          <w:ilvl w:val="0"/>
          <w:numId w:val="10"/>
        </w:numPr>
        <w:tabs>
          <w:tab w:val="left" w:pos="1276"/>
        </w:tabs>
        <w:spacing w:line="360" w:lineRule="auto"/>
        <w:ind w:left="1276" w:hanging="1276" w:firstLineChars="0"/>
        <w:outlineLvl w:val="0"/>
        <w:rPr>
          <w:rFonts w:ascii="宋体" w:hAnsi="宋体"/>
          <w:b/>
          <w:szCs w:val="21"/>
        </w:rPr>
      </w:pPr>
      <w:bookmarkStart w:id="237" w:name="_Toc4967"/>
      <w:bookmarkStart w:id="238" w:name="_Toc27645"/>
      <w:r>
        <w:rPr>
          <w:rFonts w:hint="eastAsia" w:ascii="宋体" w:hAnsi="宋体"/>
          <w:b/>
          <w:sz w:val="24"/>
          <w:szCs w:val="24"/>
        </w:rPr>
        <w:t>供应商基本情况表</w:t>
      </w:r>
      <w:bookmarkEnd w:id="237"/>
      <w:bookmarkEnd w:id="238"/>
    </w:p>
    <w:p w14:paraId="0A621E6C">
      <w:pPr>
        <w:spacing w:line="360" w:lineRule="auto"/>
        <w:ind w:left="420"/>
        <w:rPr>
          <w:rFonts w:ascii="宋体" w:hAnsi="宋体"/>
          <w:szCs w:val="21"/>
        </w:rPr>
      </w:pPr>
    </w:p>
    <w:tbl>
      <w:tblPr>
        <w:tblStyle w:val="25"/>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0101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4DB2A16">
            <w:pPr>
              <w:spacing w:line="360" w:lineRule="auto"/>
              <w:jc w:val="center"/>
              <w:rPr>
                <w:rFonts w:ascii="宋体" w:hAnsi="宋体"/>
                <w:szCs w:val="21"/>
              </w:rPr>
            </w:pPr>
            <w:r>
              <w:rPr>
                <w:rFonts w:hint="eastAsia" w:ascii="宋体" w:hAnsi="宋体"/>
                <w:szCs w:val="21"/>
                <w:lang w:val="zh-CN"/>
              </w:rPr>
              <w:t>单位名称</w:t>
            </w:r>
          </w:p>
        </w:tc>
        <w:tc>
          <w:tcPr>
            <w:tcW w:w="6071" w:type="dxa"/>
            <w:gridSpan w:val="3"/>
            <w:vAlign w:val="center"/>
          </w:tcPr>
          <w:p w14:paraId="639349C0">
            <w:pPr>
              <w:spacing w:line="360" w:lineRule="auto"/>
              <w:jc w:val="center"/>
              <w:rPr>
                <w:rFonts w:ascii="宋体" w:hAnsi="宋体"/>
                <w:szCs w:val="21"/>
              </w:rPr>
            </w:pPr>
          </w:p>
        </w:tc>
      </w:tr>
      <w:tr w14:paraId="5C0E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1F32D8B">
            <w:pPr>
              <w:spacing w:line="360" w:lineRule="auto"/>
              <w:jc w:val="center"/>
              <w:rPr>
                <w:rFonts w:ascii="宋体" w:hAnsi="宋体"/>
                <w:szCs w:val="21"/>
                <w:lang w:val="zh-CN"/>
              </w:rPr>
            </w:pPr>
            <w:r>
              <w:rPr>
                <w:rFonts w:hint="eastAsia" w:ascii="宋体" w:hAnsi="宋体"/>
                <w:szCs w:val="21"/>
                <w:lang w:val="zh-CN"/>
              </w:rPr>
              <w:t>法定代表人</w:t>
            </w:r>
          </w:p>
        </w:tc>
        <w:tc>
          <w:tcPr>
            <w:tcW w:w="2019" w:type="dxa"/>
            <w:vAlign w:val="center"/>
          </w:tcPr>
          <w:p w14:paraId="78510F26">
            <w:pPr>
              <w:spacing w:line="360" w:lineRule="auto"/>
              <w:jc w:val="center"/>
              <w:rPr>
                <w:rFonts w:ascii="宋体" w:hAnsi="宋体"/>
                <w:szCs w:val="21"/>
              </w:rPr>
            </w:pPr>
          </w:p>
        </w:tc>
        <w:tc>
          <w:tcPr>
            <w:tcW w:w="2032" w:type="dxa"/>
            <w:vAlign w:val="center"/>
          </w:tcPr>
          <w:p w14:paraId="54972CF0">
            <w:pPr>
              <w:spacing w:line="360" w:lineRule="auto"/>
              <w:jc w:val="center"/>
              <w:rPr>
                <w:rFonts w:ascii="宋体" w:hAnsi="宋体"/>
                <w:szCs w:val="21"/>
                <w:lang w:val="zh-CN"/>
              </w:rPr>
            </w:pPr>
            <w:r>
              <w:rPr>
                <w:rFonts w:hint="eastAsia" w:ascii="宋体" w:hAnsi="宋体"/>
                <w:szCs w:val="21"/>
                <w:lang w:val="zh-CN"/>
              </w:rPr>
              <w:t>注册资金</w:t>
            </w:r>
          </w:p>
        </w:tc>
        <w:tc>
          <w:tcPr>
            <w:tcW w:w="2020" w:type="dxa"/>
            <w:vAlign w:val="center"/>
          </w:tcPr>
          <w:p w14:paraId="0144669F">
            <w:pPr>
              <w:spacing w:line="360" w:lineRule="auto"/>
              <w:jc w:val="center"/>
              <w:rPr>
                <w:rFonts w:ascii="宋体" w:hAnsi="宋体"/>
                <w:szCs w:val="21"/>
              </w:rPr>
            </w:pPr>
          </w:p>
        </w:tc>
      </w:tr>
      <w:tr w14:paraId="3876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9F6EC6A">
            <w:pPr>
              <w:spacing w:line="360" w:lineRule="auto"/>
              <w:jc w:val="center"/>
              <w:rPr>
                <w:rFonts w:ascii="宋体" w:hAnsi="宋体"/>
                <w:szCs w:val="21"/>
              </w:rPr>
            </w:pPr>
            <w:r>
              <w:rPr>
                <w:rFonts w:hint="eastAsia" w:ascii="宋体" w:hAnsi="宋体"/>
                <w:szCs w:val="21"/>
                <w:lang w:val="zh-CN"/>
              </w:rPr>
              <w:t>单位性质</w:t>
            </w:r>
          </w:p>
        </w:tc>
        <w:tc>
          <w:tcPr>
            <w:tcW w:w="2019" w:type="dxa"/>
            <w:vAlign w:val="center"/>
          </w:tcPr>
          <w:p w14:paraId="7DEAFF5F">
            <w:pPr>
              <w:spacing w:line="360" w:lineRule="auto"/>
              <w:jc w:val="center"/>
              <w:rPr>
                <w:rFonts w:ascii="宋体" w:hAnsi="宋体"/>
                <w:szCs w:val="21"/>
              </w:rPr>
            </w:pPr>
          </w:p>
        </w:tc>
        <w:tc>
          <w:tcPr>
            <w:tcW w:w="2032" w:type="dxa"/>
            <w:vAlign w:val="center"/>
          </w:tcPr>
          <w:p w14:paraId="47A0AE00">
            <w:pPr>
              <w:spacing w:line="360" w:lineRule="auto"/>
              <w:jc w:val="center"/>
              <w:rPr>
                <w:rFonts w:ascii="宋体" w:hAnsi="宋体"/>
                <w:szCs w:val="21"/>
              </w:rPr>
            </w:pPr>
            <w:r>
              <w:rPr>
                <w:rFonts w:hint="eastAsia" w:ascii="宋体" w:hAnsi="宋体"/>
                <w:szCs w:val="21"/>
                <w:lang w:val="zh-CN"/>
              </w:rPr>
              <w:t>成立时间</w:t>
            </w:r>
          </w:p>
        </w:tc>
        <w:tc>
          <w:tcPr>
            <w:tcW w:w="2020" w:type="dxa"/>
            <w:vAlign w:val="center"/>
          </w:tcPr>
          <w:p w14:paraId="3142BEF7">
            <w:pPr>
              <w:spacing w:line="360" w:lineRule="auto"/>
              <w:jc w:val="center"/>
              <w:rPr>
                <w:rFonts w:ascii="宋体" w:hAnsi="宋体"/>
                <w:szCs w:val="21"/>
              </w:rPr>
            </w:pPr>
          </w:p>
        </w:tc>
      </w:tr>
      <w:tr w14:paraId="5D10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F34C495">
            <w:pPr>
              <w:spacing w:line="360" w:lineRule="auto"/>
              <w:jc w:val="center"/>
              <w:rPr>
                <w:rFonts w:ascii="宋体" w:hAnsi="宋体"/>
                <w:szCs w:val="21"/>
              </w:rPr>
            </w:pPr>
            <w:r>
              <w:rPr>
                <w:rFonts w:hint="eastAsia" w:ascii="宋体" w:hAnsi="宋体"/>
                <w:szCs w:val="21"/>
                <w:lang w:val="zh-CN"/>
              </w:rPr>
              <w:t>单位地址</w:t>
            </w:r>
          </w:p>
        </w:tc>
        <w:tc>
          <w:tcPr>
            <w:tcW w:w="6071" w:type="dxa"/>
            <w:gridSpan w:val="3"/>
            <w:vAlign w:val="center"/>
          </w:tcPr>
          <w:p w14:paraId="11B53554">
            <w:pPr>
              <w:spacing w:line="360" w:lineRule="auto"/>
              <w:jc w:val="center"/>
              <w:rPr>
                <w:rFonts w:ascii="宋体" w:hAnsi="宋体"/>
                <w:szCs w:val="21"/>
              </w:rPr>
            </w:pPr>
          </w:p>
        </w:tc>
      </w:tr>
      <w:tr w14:paraId="0722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2941EC24">
            <w:pPr>
              <w:spacing w:line="360" w:lineRule="auto"/>
              <w:jc w:val="center"/>
              <w:rPr>
                <w:rFonts w:ascii="宋体" w:hAnsi="宋体"/>
                <w:szCs w:val="21"/>
              </w:rPr>
            </w:pPr>
            <w:r>
              <w:rPr>
                <w:rFonts w:hint="eastAsia" w:ascii="宋体" w:hAnsi="宋体"/>
                <w:szCs w:val="21"/>
                <w:lang w:val="zh-CN"/>
              </w:rPr>
              <w:t>经营范围</w:t>
            </w:r>
          </w:p>
        </w:tc>
        <w:tc>
          <w:tcPr>
            <w:tcW w:w="6071" w:type="dxa"/>
            <w:gridSpan w:val="3"/>
            <w:vAlign w:val="center"/>
          </w:tcPr>
          <w:p w14:paraId="66241FAF">
            <w:pPr>
              <w:spacing w:line="360" w:lineRule="auto"/>
              <w:jc w:val="center"/>
              <w:rPr>
                <w:rFonts w:ascii="宋体" w:hAnsi="宋体"/>
                <w:szCs w:val="21"/>
              </w:rPr>
            </w:pPr>
          </w:p>
        </w:tc>
      </w:tr>
      <w:tr w14:paraId="47F6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7651F58">
            <w:pPr>
              <w:spacing w:line="360" w:lineRule="auto"/>
              <w:jc w:val="center"/>
              <w:rPr>
                <w:rFonts w:ascii="宋体" w:hAnsi="宋体"/>
                <w:szCs w:val="21"/>
              </w:rPr>
            </w:pPr>
            <w:r>
              <w:rPr>
                <w:rFonts w:hint="eastAsia" w:ascii="宋体" w:hAnsi="宋体"/>
                <w:szCs w:val="21"/>
                <w:lang w:val="zh-CN"/>
              </w:rPr>
              <w:t>开户银行</w:t>
            </w:r>
          </w:p>
        </w:tc>
        <w:tc>
          <w:tcPr>
            <w:tcW w:w="2019" w:type="dxa"/>
            <w:vAlign w:val="center"/>
          </w:tcPr>
          <w:p w14:paraId="1ABBCA42">
            <w:pPr>
              <w:spacing w:line="360" w:lineRule="auto"/>
              <w:jc w:val="center"/>
              <w:rPr>
                <w:rFonts w:ascii="宋体" w:hAnsi="宋体"/>
                <w:szCs w:val="21"/>
              </w:rPr>
            </w:pPr>
          </w:p>
        </w:tc>
        <w:tc>
          <w:tcPr>
            <w:tcW w:w="2032" w:type="dxa"/>
            <w:vAlign w:val="center"/>
          </w:tcPr>
          <w:p w14:paraId="167755D0">
            <w:pPr>
              <w:spacing w:line="360" w:lineRule="auto"/>
              <w:jc w:val="center"/>
              <w:rPr>
                <w:rFonts w:ascii="宋体" w:hAnsi="宋体"/>
                <w:szCs w:val="21"/>
              </w:rPr>
            </w:pPr>
            <w:r>
              <w:rPr>
                <w:rFonts w:hint="eastAsia" w:ascii="宋体" w:hAnsi="宋体"/>
                <w:szCs w:val="21"/>
              </w:rPr>
              <w:t>银行账户</w:t>
            </w:r>
          </w:p>
        </w:tc>
        <w:tc>
          <w:tcPr>
            <w:tcW w:w="2020" w:type="dxa"/>
            <w:vAlign w:val="center"/>
          </w:tcPr>
          <w:p w14:paraId="365359A3">
            <w:pPr>
              <w:spacing w:line="360" w:lineRule="auto"/>
              <w:jc w:val="center"/>
              <w:rPr>
                <w:rFonts w:ascii="宋体" w:hAnsi="宋体"/>
                <w:szCs w:val="21"/>
              </w:rPr>
            </w:pPr>
          </w:p>
        </w:tc>
      </w:tr>
      <w:tr w14:paraId="0E56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69561CA">
            <w:pPr>
              <w:spacing w:line="360" w:lineRule="auto"/>
              <w:jc w:val="center"/>
              <w:rPr>
                <w:rFonts w:ascii="宋体" w:hAnsi="宋体"/>
                <w:szCs w:val="21"/>
              </w:rPr>
            </w:pPr>
            <w:r>
              <w:rPr>
                <w:rFonts w:hint="eastAsia" w:ascii="宋体" w:hAnsi="宋体"/>
                <w:szCs w:val="21"/>
                <w:lang w:val="zh-CN"/>
              </w:rPr>
              <w:t>联系人</w:t>
            </w:r>
          </w:p>
        </w:tc>
        <w:tc>
          <w:tcPr>
            <w:tcW w:w="2019" w:type="dxa"/>
            <w:vAlign w:val="center"/>
          </w:tcPr>
          <w:p w14:paraId="6DD0640B">
            <w:pPr>
              <w:spacing w:line="360" w:lineRule="auto"/>
              <w:jc w:val="center"/>
              <w:rPr>
                <w:rFonts w:ascii="宋体" w:hAnsi="宋体"/>
                <w:szCs w:val="21"/>
              </w:rPr>
            </w:pPr>
          </w:p>
        </w:tc>
        <w:tc>
          <w:tcPr>
            <w:tcW w:w="2032" w:type="dxa"/>
            <w:vAlign w:val="center"/>
          </w:tcPr>
          <w:p w14:paraId="3C457BF0">
            <w:pPr>
              <w:spacing w:line="360" w:lineRule="auto"/>
              <w:jc w:val="center"/>
              <w:rPr>
                <w:rFonts w:ascii="宋体" w:hAnsi="宋体"/>
                <w:szCs w:val="21"/>
              </w:rPr>
            </w:pPr>
            <w:r>
              <w:rPr>
                <w:rFonts w:hint="eastAsia" w:ascii="宋体" w:hAnsi="宋体"/>
                <w:szCs w:val="21"/>
                <w:lang w:val="zh-CN"/>
              </w:rPr>
              <w:t>联系电话</w:t>
            </w:r>
          </w:p>
        </w:tc>
        <w:tc>
          <w:tcPr>
            <w:tcW w:w="2020" w:type="dxa"/>
            <w:vAlign w:val="center"/>
          </w:tcPr>
          <w:p w14:paraId="0BC13CD2">
            <w:pPr>
              <w:spacing w:line="360" w:lineRule="auto"/>
              <w:jc w:val="center"/>
              <w:rPr>
                <w:rFonts w:ascii="宋体" w:hAnsi="宋体"/>
                <w:szCs w:val="21"/>
              </w:rPr>
            </w:pPr>
          </w:p>
        </w:tc>
      </w:tr>
      <w:tr w14:paraId="52FC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4940B18D">
            <w:pPr>
              <w:spacing w:line="360" w:lineRule="auto"/>
              <w:jc w:val="center"/>
              <w:rPr>
                <w:rFonts w:ascii="宋体" w:hAnsi="宋体"/>
                <w:szCs w:val="21"/>
              </w:rPr>
            </w:pPr>
            <w:r>
              <w:rPr>
                <w:rFonts w:hint="eastAsia" w:ascii="宋体" w:hAnsi="宋体"/>
                <w:szCs w:val="21"/>
                <w:lang w:val="zh-CN"/>
              </w:rPr>
              <w:t>基本情况</w:t>
            </w:r>
          </w:p>
        </w:tc>
        <w:tc>
          <w:tcPr>
            <w:tcW w:w="6071" w:type="dxa"/>
            <w:gridSpan w:val="3"/>
            <w:vAlign w:val="center"/>
          </w:tcPr>
          <w:p w14:paraId="01178F25">
            <w:pPr>
              <w:spacing w:line="360" w:lineRule="auto"/>
              <w:jc w:val="center"/>
              <w:rPr>
                <w:rFonts w:ascii="宋体" w:hAnsi="宋体"/>
                <w:szCs w:val="21"/>
              </w:rPr>
            </w:pPr>
          </w:p>
        </w:tc>
      </w:tr>
    </w:tbl>
    <w:p w14:paraId="495A8A97">
      <w:pPr>
        <w:spacing w:line="360" w:lineRule="auto"/>
        <w:ind w:left="420" w:right="-197" w:rightChars="-94"/>
        <w:rPr>
          <w:szCs w:val="21"/>
        </w:rPr>
      </w:pPr>
    </w:p>
    <w:p w14:paraId="0B3C40D5">
      <w:pPr>
        <w:spacing w:line="360" w:lineRule="auto"/>
        <w:ind w:left="420"/>
        <w:rPr>
          <w:rFonts w:hint="eastAsia" w:ascii="宋体" w:hAnsi="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1DB278E0">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02B55312">
      <w:pPr>
        <w:spacing w:line="360" w:lineRule="auto"/>
        <w:ind w:left="420" w:right="-197" w:rightChars="-94"/>
        <w:rPr>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u w:val="none"/>
        </w:rPr>
        <w:t>年</w:t>
      </w:r>
      <w:r>
        <w:rPr>
          <w:rFonts w:hint="eastAsia" w:ascii="宋体" w:hAnsi="宋体"/>
          <w:szCs w:val="21"/>
          <w:u w:val="single"/>
          <w:lang w:val="en-US" w:eastAsia="zh-CN"/>
        </w:rPr>
        <w:t xml:space="preserve">    </w:t>
      </w:r>
      <w:r>
        <w:rPr>
          <w:rFonts w:hint="eastAsia" w:ascii="宋体" w:hAnsi="宋体"/>
          <w:szCs w:val="21"/>
          <w:u w:val="none"/>
        </w:rPr>
        <w:t>月</w:t>
      </w:r>
      <w:r>
        <w:rPr>
          <w:rFonts w:hint="eastAsia" w:ascii="宋体" w:hAnsi="宋体"/>
          <w:szCs w:val="21"/>
          <w:u w:val="single"/>
          <w:lang w:val="en-US" w:eastAsia="zh-CN"/>
        </w:rPr>
        <w:t xml:space="preserve">    </w:t>
      </w:r>
      <w:r>
        <w:rPr>
          <w:rFonts w:hint="eastAsia" w:ascii="宋体" w:hAnsi="宋体"/>
          <w:szCs w:val="21"/>
          <w:u w:val="none"/>
        </w:rPr>
        <w:t>日</w:t>
      </w:r>
    </w:p>
    <w:p w14:paraId="512E626E">
      <w:pPr>
        <w:spacing w:line="360" w:lineRule="auto"/>
        <w:ind w:left="420"/>
        <w:rPr>
          <w:rFonts w:ascii="宋体" w:hAnsi="宋体"/>
          <w:szCs w:val="21"/>
        </w:rPr>
      </w:pPr>
    </w:p>
    <w:p w14:paraId="43BA1DCE">
      <w:pPr>
        <w:pStyle w:val="39"/>
        <w:numPr>
          <w:ilvl w:val="0"/>
          <w:numId w:val="10"/>
        </w:numPr>
        <w:tabs>
          <w:tab w:val="left" w:pos="1276"/>
        </w:tabs>
        <w:spacing w:line="360" w:lineRule="auto"/>
        <w:ind w:left="1276" w:hanging="1276" w:firstLineChars="0"/>
        <w:outlineLvl w:val="0"/>
        <w:rPr>
          <w:b/>
          <w:sz w:val="24"/>
          <w:szCs w:val="24"/>
        </w:rPr>
      </w:pPr>
      <w:bookmarkStart w:id="239" w:name="_Toc140404405"/>
      <w:bookmarkStart w:id="240" w:name="_Toc7577"/>
      <w:bookmarkStart w:id="241" w:name="_Toc522635655"/>
      <w:r>
        <w:rPr>
          <w:b/>
          <w:sz w:val="24"/>
          <w:szCs w:val="24"/>
        </w:rPr>
        <w:t>业绩证明文件</w:t>
      </w:r>
      <w:bookmarkEnd w:id="239"/>
      <w:bookmarkEnd w:id="240"/>
      <w:bookmarkEnd w:id="241"/>
    </w:p>
    <w:p w14:paraId="093C2C69">
      <w:pPr>
        <w:spacing w:line="360" w:lineRule="auto"/>
        <w:ind w:right="-57" w:rightChars="-27"/>
        <w:rPr>
          <w:szCs w:val="21"/>
        </w:rPr>
      </w:pPr>
    </w:p>
    <w:tbl>
      <w:tblPr>
        <w:tblStyle w:val="25"/>
        <w:tblW w:w="757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09B95E7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54693A8F">
            <w:pPr>
              <w:jc w:val="center"/>
            </w:pPr>
            <w:r>
              <w:t>序号</w:t>
            </w:r>
          </w:p>
        </w:tc>
        <w:tc>
          <w:tcPr>
            <w:tcW w:w="1432" w:type="dxa"/>
            <w:tcBorders>
              <w:top w:val="single" w:color="auto" w:sz="4" w:space="0"/>
            </w:tcBorders>
          </w:tcPr>
          <w:p w14:paraId="55BDECE5">
            <w:pPr>
              <w:jc w:val="center"/>
            </w:pPr>
            <w:r>
              <w:t>行业类型</w:t>
            </w:r>
          </w:p>
        </w:tc>
        <w:tc>
          <w:tcPr>
            <w:tcW w:w="1366" w:type="dxa"/>
            <w:tcBorders>
              <w:top w:val="single" w:color="auto" w:sz="4" w:space="0"/>
            </w:tcBorders>
          </w:tcPr>
          <w:p w14:paraId="70686438">
            <w:pPr>
              <w:jc w:val="center"/>
            </w:pPr>
            <w:r>
              <w:t>项目名称</w:t>
            </w:r>
          </w:p>
        </w:tc>
        <w:tc>
          <w:tcPr>
            <w:tcW w:w="1507" w:type="dxa"/>
            <w:tcBorders>
              <w:top w:val="single" w:color="auto" w:sz="4" w:space="0"/>
            </w:tcBorders>
          </w:tcPr>
          <w:p w14:paraId="4E3B9E10">
            <w:pPr>
              <w:jc w:val="center"/>
            </w:pPr>
            <w:r>
              <w:t>起止时间</w:t>
            </w:r>
          </w:p>
        </w:tc>
        <w:tc>
          <w:tcPr>
            <w:tcW w:w="1373" w:type="dxa"/>
            <w:tcBorders>
              <w:top w:val="single" w:color="auto" w:sz="4" w:space="0"/>
            </w:tcBorders>
          </w:tcPr>
          <w:p w14:paraId="3D73D45E">
            <w:pPr>
              <w:jc w:val="center"/>
            </w:pPr>
            <w:r>
              <w:t>业务描述</w:t>
            </w:r>
          </w:p>
        </w:tc>
        <w:tc>
          <w:tcPr>
            <w:tcW w:w="1063" w:type="dxa"/>
            <w:tcBorders>
              <w:top w:val="single" w:color="auto" w:sz="4" w:space="0"/>
            </w:tcBorders>
          </w:tcPr>
          <w:p w14:paraId="708B0EEA">
            <w:pPr>
              <w:jc w:val="center"/>
            </w:pPr>
            <w:r>
              <w:t>备注</w:t>
            </w:r>
          </w:p>
        </w:tc>
      </w:tr>
      <w:tr w14:paraId="69BE470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B92D3A4">
            <w:pPr>
              <w:jc w:val="center"/>
            </w:pPr>
            <w:r>
              <w:t>1</w:t>
            </w:r>
          </w:p>
        </w:tc>
        <w:tc>
          <w:tcPr>
            <w:tcW w:w="1432" w:type="dxa"/>
          </w:tcPr>
          <w:p w14:paraId="1BB39DBE"/>
        </w:tc>
        <w:tc>
          <w:tcPr>
            <w:tcW w:w="1366" w:type="dxa"/>
          </w:tcPr>
          <w:p w14:paraId="4D9ADCF3"/>
        </w:tc>
        <w:tc>
          <w:tcPr>
            <w:tcW w:w="1507" w:type="dxa"/>
          </w:tcPr>
          <w:p w14:paraId="3335E590"/>
        </w:tc>
        <w:tc>
          <w:tcPr>
            <w:tcW w:w="1373" w:type="dxa"/>
          </w:tcPr>
          <w:p w14:paraId="6782692F"/>
        </w:tc>
        <w:tc>
          <w:tcPr>
            <w:tcW w:w="1063" w:type="dxa"/>
          </w:tcPr>
          <w:p w14:paraId="4EF94FCE"/>
        </w:tc>
      </w:tr>
      <w:tr w14:paraId="34AEAD4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F32613A">
            <w:pPr>
              <w:jc w:val="center"/>
            </w:pPr>
            <w:r>
              <w:t>2</w:t>
            </w:r>
          </w:p>
        </w:tc>
        <w:tc>
          <w:tcPr>
            <w:tcW w:w="1432" w:type="dxa"/>
          </w:tcPr>
          <w:p w14:paraId="7CA8E688"/>
        </w:tc>
        <w:tc>
          <w:tcPr>
            <w:tcW w:w="1366" w:type="dxa"/>
          </w:tcPr>
          <w:p w14:paraId="380E959D"/>
        </w:tc>
        <w:tc>
          <w:tcPr>
            <w:tcW w:w="1507" w:type="dxa"/>
          </w:tcPr>
          <w:p w14:paraId="3A3D1A03"/>
        </w:tc>
        <w:tc>
          <w:tcPr>
            <w:tcW w:w="1373" w:type="dxa"/>
          </w:tcPr>
          <w:p w14:paraId="71A1CD9A"/>
        </w:tc>
        <w:tc>
          <w:tcPr>
            <w:tcW w:w="1063" w:type="dxa"/>
          </w:tcPr>
          <w:p w14:paraId="297B9B67"/>
        </w:tc>
      </w:tr>
      <w:tr w14:paraId="6F8FFA2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BCCBAE5">
            <w:pPr>
              <w:jc w:val="center"/>
            </w:pPr>
            <w:r>
              <w:t>3</w:t>
            </w:r>
          </w:p>
        </w:tc>
        <w:tc>
          <w:tcPr>
            <w:tcW w:w="1432" w:type="dxa"/>
          </w:tcPr>
          <w:p w14:paraId="33757BFB"/>
        </w:tc>
        <w:tc>
          <w:tcPr>
            <w:tcW w:w="1366" w:type="dxa"/>
          </w:tcPr>
          <w:p w14:paraId="3FD9951C"/>
        </w:tc>
        <w:tc>
          <w:tcPr>
            <w:tcW w:w="1507" w:type="dxa"/>
          </w:tcPr>
          <w:p w14:paraId="613884B4"/>
        </w:tc>
        <w:tc>
          <w:tcPr>
            <w:tcW w:w="1373" w:type="dxa"/>
          </w:tcPr>
          <w:p w14:paraId="24F06406"/>
        </w:tc>
        <w:tc>
          <w:tcPr>
            <w:tcW w:w="1063" w:type="dxa"/>
          </w:tcPr>
          <w:p w14:paraId="44AA3985"/>
        </w:tc>
      </w:tr>
      <w:tr w14:paraId="153893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D88177E">
            <w:pPr>
              <w:jc w:val="center"/>
            </w:pPr>
            <w:r>
              <w:t>4</w:t>
            </w:r>
          </w:p>
        </w:tc>
        <w:tc>
          <w:tcPr>
            <w:tcW w:w="1432" w:type="dxa"/>
          </w:tcPr>
          <w:p w14:paraId="095707A0"/>
        </w:tc>
        <w:tc>
          <w:tcPr>
            <w:tcW w:w="1366" w:type="dxa"/>
          </w:tcPr>
          <w:p w14:paraId="50686CB2"/>
        </w:tc>
        <w:tc>
          <w:tcPr>
            <w:tcW w:w="1507" w:type="dxa"/>
          </w:tcPr>
          <w:p w14:paraId="4B0E6BE8"/>
        </w:tc>
        <w:tc>
          <w:tcPr>
            <w:tcW w:w="1373" w:type="dxa"/>
          </w:tcPr>
          <w:p w14:paraId="35060C39"/>
        </w:tc>
        <w:tc>
          <w:tcPr>
            <w:tcW w:w="1063" w:type="dxa"/>
          </w:tcPr>
          <w:p w14:paraId="7295AAD5"/>
        </w:tc>
      </w:tr>
      <w:tr w14:paraId="3973674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2804C2B">
            <w:pPr>
              <w:jc w:val="center"/>
            </w:pPr>
            <w:r>
              <w:t>5</w:t>
            </w:r>
          </w:p>
        </w:tc>
        <w:tc>
          <w:tcPr>
            <w:tcW w:w="1432" w:type="dxa"/>
          </w:tcPr>
          <w:p w14:paraId="611588F6"/>
        </w:tc>
        <w:tc>
          <w:tcPr>
            <w:tcW w:w="1366" w:type="dxa"/>
          </w:tcPr>
          <w:p w14:paraId="367E2532"/>
        </w:tc>
        <w:tc>
          <w:tcPr>
            <w:tcW w:w="1507" w:type="dxa"/>
          </w:tcPr>
          <w:p w14:paraId="6E12C548"/>
        </w:tc>
        <w:tc>
          <w:tcPr>
            <w:tcW w:w="1373" w:type="dxa"/>
          </w:tcPr>
          <w:p w14:paraId="7A3B8811"/>
        </w:tc>
        <w:tc>
          <w:tcPr>
            <w:tcW w:w="1063" w:type="dxa"/>
          </w:tcPr>
          <w:p w14:paraId="186E6484"/>
        </w:tc>
      </w:tr>
      <w:tr w14:paraId="4979DF7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E8A03E2">
            <w:pPr>
              <w:jc w:val="center"/>
            </w:pPr>
            <w:r>
              <w:t>6</w:t>
            </w:r>
          </w:p>
        </w:tc>
        <w:tc>
          <w:tcPr>
            <w:tcW w:w="1432" w:type="dxa"/>
          </w:tcPr>
          <w:p w14:paraId="55CF2B28"/>
        </w:tc>
        <w:tc>
          <w:tcPr>
            <w:tcW w:w="1366" w:type="dxa"/>
          </w:tcPr>
          <w:p w14:paraId="53DFB66E"/>
        </w:tc>
        <w:tc>
          <w:tcPr>
            <w:tcW w:w="1507" w:type="dxa"/>
          </w:tcPr>
          <w:p w14:paraId="7DA25453"/>
        </w:tc>
        <w:tc>
          <w:tcPr>
            <w:tcW w:w="1373" w:type="dxa"/>
          </w:tcPr>
          <w:p w14:paraId="383C718F"/>
        </w:tc>
        <w:tc>
          <w:tcPr>
            <w:tcW w:w="1063" w:type="dxa"/>
          </w:tcPr>
          <w:p w14:paraId="1AEC7017"/>
        </w:tc>
      </w:tr>
      <w:tr w14:paraId="64BED3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11761F7">
            <w:pPr>
              <w:jc w:val="center"/>
            </w:pPr>
            <w:r>
              <w:t>7</w:t>
            </w:r>
          </w:p>
        </w:tc>
        <w:tc>
          <w:tcPr>
            <w:tcW w:w="1432" w:type="dxa"/>
          </w:tcPr>
          <w:p w14:paraId="00D58B0B"/>
        </w:tc>
        <w:tc>
          <w:tcPr>
            <w:tcW w:w="1366" w:type="dxa"/>
          </w:tcPr>
          <w:p w14:paraId="31AFDEEE"/>
        </w:tc>
        <w:tc>
          <w:tcPr>
            <w:tcW w:w="1507" w:type="dxa"/>
          </w:tcPr>
          <w:p w14:paraId="4BD62809"/>
        </w:tc>
        <w:tc>
          <w:tcPr>
            <w:tcW w:w="1373" w:type="dxa"/>
          </w:tcPr>
          <w:p w14:paraId="58B463AD"/>
        </w:tc>
        <w:tc>
          <w:tcPr>
            <w:tcW w:w="1063" w:type="dxa"/>
          </w:tcPr>
          <w:p w14:paraId="2AE90FC2"/>
        </w:tc>
      </w:tr>
      <w:tr w14:paraId="3549592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AE2DB1F">
            <w:pPr>
              <w:jc w:val="center"/>
            </w:pPr>
            <w:r>
              <w:t>8</w:t>
            </w:r>
          </w:p>
        </w:tc>
        <w:tc>
          <w:tcPr>
            <w:tcW w:w="1432" w:type="dxa"/>
          </w:tcPr>
          <w:p w14:paraId="392E6311"/>
        </w:tc>
        <w:tc>
          <w:tcPr>
            <w:tcW w:w="1366" w:type="dxa"/>
          </w:tcPr>
          <w:p w14:paraId="3067021E"/>
        </w:tc>
        <w:tc>
          <w:tcPr>
            <w:tcW w:w="1507" w:type="dxa"/>
          </w:tcPr>
          <w:p w14:paraId="028F7902"/>
        </w:tc>
        <w:tc>
          <w:tcPr>
            <w:tcW w:w="1373" w:type="dxa"/>
          </w:tcPr>
          <w:p w14:paraId="2B9AA245"/>
        </w:tc>
        <w:tc>
          <w:tcPr>
            <w:tcW w:w="1063" w:type="dxa"/>
          </w:tcPr>
          <w:p w14:paraId="1459F665"/>
        </w:tc>
      </w:tr>
      <w:tr w14:paraId="03A646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395F4F4">
            <w:pPr>
              <w:jc w:val="center"/>
            </w:pPr>
            <w:r>
              <w:t>……</w:t>
            </w:r>
          </w:p>
        </w:tc>
        <w:tc>
          <w:tcPr>
            <w:tcW w:w="1432" w:type="dxa"/>
          </w:tcPr>
          <w:p w14:paraId="48FEA34B"/>
        </w:tc>
        <w:tc>
          <w:tcPr>
            <w:tcW w:w="1366" w:type="dxa"/>
          </w:tcPr>
          <w:p w14:paraId="6D65F642"/>
        </w:tc>
        <w:tc>
          <w:tcPr>
            <w:tcW w:w="1507" w:type="dxa"/>
          </w:tcPr>
          <w:p w14:paraId="32A25689"/>
        </w:tc>
        <w:tc>
          <w:tcPr>
            <w:tcW w:w="1373" w:type="dxa"/>
          </w:tcPr>
          <w:p w14:paraId="3108F067"/>
        </w:tc>
        <w:tc>
          <w:tcPr>
            <w:tcW w:w="1063" w:type="dxa"/>
          </w:tcPr>
          <w:p w14:paraId="40E55C63"/>
        </w:tc>
      </w:tr>
      <w:tr w14:paraId="2B4D70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6EEA47FF">
            <w:pPr>
              <w:jc w:val="center"/>
            </w:pPr>
          </w:p>
        </w:tc>
        <w:tc>
          <w:tcPr>
            <w:tcW w:w="1432" w:type="dxa"/>
            <w:tcBorders>
              <w:bottom w:val="single" w:color="auto" w:sz="4" w:space="0"/>
            </w:tcBorders>
          </w:tcPr>
          <w:p w14:paraId="36AF0ED4"/>
        </w:tc>
        <w:tc>
          <w:tcPr>
            <w:tcW w:w="1366" w:type="dxa"/>
            <w:tcBorders>
              <w:bottom w:val="single" w:color="auto" w:sz="4" w:space="0"/>
            </w:tcBorders>
          </w:tcPr>
          <w:p w14:paraId="0A6D094D"/>
        </w:tc>
        <w:tc>
          <w:tcPr>
            <w:tcW w:w="1507" w:type="dxa"/>
            <w:tcBorders>
              <w:bottom w:val="single" w:color="auto" w:sz="4" w:space="0"/>
            </w:tcBorders>
          </w:tcPr>
          <w:p w14:paraId="7927926A"/>
        </w:tc>
        <w:tc>
          <w:tcPr>
            <w:tcW w:w="1373" w:type="dxa"/>
            <w:tcBorders>
              <w:bottom w:val="single" w:color="auto" w:sz="4" w:space="0"/>
            </w:tcBorders>
          </w:tcPr>
          <w:p w14:paraId="188EC3DF"/>
        </w:tc>
        <w:tc>
          <w:tcPr>
            <w:tcW w:w="1063" w:type="dxa"/>
            <w:tcBorders>
              <w:bottom w:val="single" w:color="auto" w:sz="4" w:space="0"/>
            </w:tcBorders>
          </w:tcPr>
          <w:p w14:paraId="34F787C3"/>
        </w:tc>
      </w:tr>
    </w:tbl>
    <w:p w14:paraId="04A19AB0">
      <w:pPr>
        <w:spacing w:line="360" w:lineRule="auto"/>
        <w:ind w:left="420" w:right="-57" w:rightChars="-27"/>
        <w:rPr>
          <w:szCs w:val="21"/>
        </w:rPr>
      </w:pPr>
    </w:p>
    <w:p w14:paraId="453A2044">
      <w:pPr>
        <w:spacing w:line="360" w:lineRule="auto"/>
        <w:ind w:right="-57" w:rightChars="-27"/>
        <w:rPr>
          <w:szCs w:val="21"/>
          <w:lang w:val="zh-CN"/>
        </w:rPr>
      </w:pPr>
      <w:r>
        <w:rPr>
          <w:szCs w:val="21"/>
        </w:rPr>
        <w:t>注：</w:t>
      </w:r>
      <w:r>
        <w:rPr>
          <w:rFonts w:hint="eastAsia"/>
          <w:szCs w:val="21"/>
        </w:rPr>
        <w:t>供应商应</w:t>
      </w:r>
      <w:r>
        <w:rPr>
          <w:szCs w:val="21"/>
          <w:lang w:val="zh-CN"/>
        </w:rPr>
        <w:t>对近202</w:t>
      </w:r>
      <w:r>
        <w:rPr>
          <w:rFonts w:hint="eastAsia"/>
          <w:szCs w:val="21"/>
        </w:rPr>
        <w:t>1</w:t>
      </w:r>
      <w:r>
        <w:rPr>
          <w:szCs w:val="21"/>
          <w:lang w:val="zh-CN"/>
        </w:rPr>
        <w:t>年1月1日至</w:t>
      </w:r>
      <w:r>
        <w:rPr>
          <w:rFonts w:hint="eastAsia"/>
          <w:szCs w:val="21"/>
        </w:rPr>
        <w:t>今</w:t>
      </w:r>
      <w:r>
        <w:rPr>
          <w:szCs w:val="21"/>
          <w:lang w:val="zh-CN"/>
        </w:rPr>
        <w:t>做过的相关业绩作出说明（</w:t>
      </w:r>
      <w:r>
        <w:rPr>
          <w:rFonts w:hint="eastAsia" w:ascii="宋体" w:hAnsi="宋体" w:cs="宋体"/>
          <w:bCs/>
          <w:szCs w:val="21"/>
        </w:rPr>
        <w:t>须提供相应的合同首页、服务标的内容页、与合同双方盖章页复印件并加盖公章。</w:t>
      </w:r>
      <w:r>
        <w:rPr>
          <w:szCs w:val="21"/>
          <w:lang w:val="zh-CN"/>
        </w:rPr>
        <w:t>）</w:t>
      </w:r>
    </w:p>
    <w:p w14:paraId="2BAEE485">
      <w:pPr>
        <w:spacing w:line="360" w:lineRule="auto"/>
        <w:ind w:right="-57" w:rightChars="-27"/>
        <w:rPr>
          <w:szCs w:val="21"/>
          <w:lang w:val="zh-CN"/>
        </w:rPr>
      </w:pPr>
    </w:p>
    <w:p w14:paraId="1C1609D1">
      <w:pPr>
        <w:spacing w:line="360" w:lineRule="auto"/>
        <w:ind w:left="420"/>
        <w:rPr>
          <w:rFonts w:hint="eastAsia" w:ascii="宋体" w:hAnsi="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1866593E">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17CD7593">
      <w:pPr>
        <w:spacing w:line="360" w:lineRule="auto"/>
        <w:ind w:firstLine="420" w:firstLineChars="200"/>
        <w:rPr>
          <w:szCs w:val="21"/>
          <w:u w:val="single"/>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u w:val="none"/>
        </w:rPr>
        <w:t>年</w:t>
      </w:r>
      <w:r>
        <w:rPr>
          <w:rFonts w:hint="eastAsia" w:ascii="宋体" w:hAnsi="宋体"/>
          <w:szCs w:val="21"/>
          <w:u w:val="single"/>
          <w:lang w:val="en-US" w:eastAsia="zh-CN"/>
        </w:rPr>
        <w:t xml:space="preserve">    </w:t>
      </w:r>
      <w:r>
        <w:rPr>
          <w:rFonts w:hint="eastAsia" w:ascii="宋体" w:hAnsi="宋体"/>
          <w:szCs w:val="21"/>
          <w:u w:val="none"/>
        </w:rPr>
        <w:t>月</w:t>
      </w:r>
      <w:r>
        <w:rPr>
          <w:rFonts w:hint="eastAsia" w:ascii="宋体" w:hAnsi="宋体"/>
          <w:szCs w:val="21"/>
          <w:u w:val="single"/>
          <w:lang w:val="en-US" w:eastAsia="zh-CN"/>
        </w:rPr>
        <w:t xml:space="preserve">    </w:t>
      </w:r>
      <w:r>
        <w:rPr>
          <w:rFonts w:hint="eastAsia" w:ascii="宋体" w:hAnsi="宋体"/>
          <w:szCs w:val="21"/>
          <w:u w:val="none"/>
        </w:rPr>
        <w:t>日</w:t>
      </w:r>
    </w:p>
    <w:p w14:paraId="053E0686">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7F5A4D4B">
      <w:pPr>
        <w:pStyle w:val="39"/>
        <w:tabs>
          <w:tab w:val="left" w:pos="1276"/>
        </w:tabs>
        <w:spacing w:line="360" w:lineRule="auto"/>
        <w:ind w:firstLine="0" w:firstLineChars="0"/>
        <w:outlineLvl w:val="0"/>
        <w:rPr>
          <w:b/>
          <w:sz w:val="24"/>
          <w:szCs w:val="24"/>
        </w:rPr>
      </w:pPr>
      <w:bookmarkStart w:id="242" w:name="_Toc140404406"/>
    </w:p>
    <w:p w14:paraId="31D67053">
      <w:pPr>
        <w:pStyle w:val="39"/>
        <w:numPr>
          <w:ilvl w:val="0"/>
          <w:numId w:val="10"/>
        </w:numPr>
        <w:tabs>
          <w:tab w:val="left" w:pos="1276"/>
        </w:tabs>
        <w:spacing w:line="360" w:lineRule="auto"/>
        <w:ind w:left="1276" w:hanging="1276" w:firstLineChars="0"/>
        <w:outlineLvl w:val="0"/>
        <w:rPr>
          <w:b/>
          <w:sz w:val="24"/>
          <w:szCs w:val="24"/>
        </w:rPr>
      </w:pPr>
      <w:bookmarkStart w:id="243" w:name="_Toc2139"/>
      <w:r>
        <w:rPr>
          <w:rFonts w:hint="eastAsia"/>
          <w:b/>
          <w:sz w:val="24"/>
          <w:szCs w:val="24"/>
          <w:lang w:val="en-US" w:eastAsia="zh-CN"/>
        </w:rPr>
        <w:t>项目</w:t>
      </w:r>
      <w:r>
        <w:rPr>
          <w:b/>
          <w:sz w:val="24"/>
          <w:szCs w:val="24"/>
        </w:rPr>
        <w:t>团队</w:t>
      </w:r>
      <w:bookmarkEnd w:id="242"/>
      <w:bookmarkEnd w:id="243"/>
    </w:p>
    <w:p w14:paraId="605C8295">
      <w:pPr>
        <w:spacing w:line="360" w:lineRule="auto"/>
        <w:ind w:right="-57" w:rightChars="-27"/>
        <w:jc w:val="center"/>
        <w:rPr>
          <w:szCs w:val="21"/>
        </w:rPr>
      </w:pPr>
    </w:p>
    <w:tbl>
      <w:tblPr>
        <w:tblStyle w:val="25"/>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943"/>
        <w:gridCol w:w="1060"/>
        <w:gridCol w:w="1690"/>
        <w:gridCol w:w="1620"/>
        <w:gridCol w:w="2200"/>
      </w:tblGrid>
      <w:tr w14:paraId="018C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14:paraId="7601E5AE">
            <w:pPr>
              <w:spacing w:line="360" w:lineRule="auto"/>
              <w:ind w:right="-57" w:rightChars="-27"/>
              <w:jc w:val="center"/>
              <w:rPr>
                <w:bCs/>
                <w:szCs w:val="21"/>
              </w:rPr>
            </w:pPr>
            <w:r>
              <w:rPr>
                <w:bCs/>
                <w:szCs w:val="21"/>
              </w:rPr>
              <w:t>序号</w:t>
            </w:r>
          </w:p>
        </w:tc>
        <w:tc>
          <w:tcPr>
            <w:tcW w:w="992" w:type="dxa"/>
            <w:vAlign w:val="center"/>
          </w:tcPr>
          <w:p w14:paraId="2AA14449">
            <w:pPr>
              <w:spacing w:line="360" w:lineRule="auto"/>
              <w:ind w:right="-57" w:rightChars="-27"/>
              <w:jc w:val="center"/>
              <w:rPr>
                <w:bCs/>
                <w:szCs w:val="21"/>
              </w:rPr>
            </w:pPr>
            <w:r>
              <w:rPr>
                <w:bCs/>
                <w:szCs w:val="21"/>
              </w:rPr>
              <w:t>姓名</w:t>
            </w:r>
          </w:p>
        </w:tc>
        <w:tc>
          <w:tcPr>
            <w:tcW w:w="943" w:type="dxa"/>
            <w:vAlign w:val="center"/>
          </w:tcPr>
          <w:p w14:paraId="2D888FC5">
            <w:pPr>
              <w:spacing w:line="360" w:lineRule="auto"/>
              <w:ind w:right="-57" w:rightChars="-27"/>
              <w:jc w:val="center"/>
              <w:rPr>
                <w:bCs/>
                <w:szCs w:val="21"/>
              </w:rPr>
            </w:pPr>
            <w:r>
              <w:rPr>
                <w:bCs/>
                <w:szCs w:val="21"/>
              </w:rPr>
              <w:t>年龄</w:t>
            </w:r>
          </w:p>
        </w:tc>
        <w:tc>
          <w:tcPr>
            <w:tcW w:w="1060" w:type="dxa"/>
            <w:vAlign w:val="center"/>
          </w:tcPr>
          <w:p w14:paraId="5B3C408B">
            <w:pPr>
              <w:spacing w:line="360" w:lineRule="auto"/>
              <w:ind w:right="-57" w:rightChars="-27"/>
              <w:jc w:val="center"/>
              <w:rPr>
                <w:bCs/>
                <w:szCs w:val="21"/>
              </w:rPr>
            </w:pPr>
            <w:r>
              <w:rPr>
                <w:bCs/>
                <w:szCs w:val="21"/>
              </w:rPr>
              <w:t>学历</w:t>
            </w:r>
          </w:p>
        </w:tc>
        <w:tc>
          <w:tcPr>
            <w:tcW w:w="1690" w:type="dxa"/>
            <w:vAlign w:val="center"/>
          </w:tcPr>
          <w:p w14:paraId="7534D3C6">
            <w:pPr>
              <w:spacing w:line="360" w:lineRule="auto"/>
              <w:ind w:right="-57" w:rightChars="-27"/>
              <w:jc w:val="center"/>
              <w:rPr>
                <w:bCs/>
                <w:szCs w:val="21"/>
              </w:rPr>
            </w:pPr>
            <w:r>
              <w:rPr>
                <w:bCs/>
                <w:szCs w:val="21"/>
              </w:rPr>
              <w:t>本项目职责分工</w:t>
            </w:r>
          </w:p>
        </w:tc>
        <w:tc>
          <w:tcPr>
            <w:tcW w:w="1620" w:type="dxa"/>
            <w:vAlign w:val="center"/>
          </w:tcPr>
          <w:p w14:paraId="13DD37E2">
            <w:pPr>
              <w:spacing w:line="360" w:lineRule="auto"/>
              <w:ind w:right="-57" w:rightChars="-27"/>
              <w:jc w:val="center"/>
              <w:rPr>
                <w:bCs/>
                <w:szCs w:val="21"/>
              </w:rPr>
            </w:pPr>
            <w:r>
              <w:rPr>
                <w:bCs/>
                <w:szCs w:val="21"/>
              </w:rPr>
              <w:t>参加工作时间及年限</w:t>
            </w:r>
          </w:p>
        </w:tc>
        <w:tc>
          <w:tcPr>
            <w:tcW w:w="2200" w:type="dxa"/>
            <w:vAlign w:val="center"/>
          </w:tcPr>
          <w:p w14:paraId="2F8AAF79">
            <w:pPr>
              <w:spacing w:line="360" w:lineRule="auto"/>
              <w:ind w:right="-57" w:rightChars="-27"/>
              <w:jc w:val="center"/>
              <w:rPr>
                <w:bCs/>
                <w:szCs w:val="21"/>
              </w:rPr>
            </w:pPr>
            <w:r>
              <w:rPr>
                <w:bCs/>
                <w:szCs w:val="21"/>
              </w:rPr>
              <w:t>获得相关</w:t>
            </w:r>
            <w:r>
              <w:rPr>
                <w:rFonts w:hint="eastAsia"/>
                <w:bCs/>
                <w:szCs w:val="21"/>
              </w:rPr>
              <w:t>执业资格证书或其他</w:t>
            </w:r>
            <w:r>
              <w:rPr>
                <w:bCs/>
                <w:szCs w:val="21"/>
              </w:rPr>
              <w:t>资质证书</w:t>
            </w:r>
          </w:p>
        </w:tc>
      </w:tr>
      <w:tr w14:paraId="66A9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1121165">
            <w:pPr>
              <w:spacing w:line="360" w:lineRule="auto"/>
              <w:ind w:left="420" w:right="-57" w:rightChars="-27"/>
              <w:rPr>
                <w:szCs w:val="21"/>
              </w:rPr>
            </w:pPr>
          </w:p>
        </w:tc>
        <w:tc>
          <w:tcPr>
            <w:tcW w:w="992" w:type="dxa"/>
          </w:tcPr>
          <w:p w14:paraId="038CA91B">
            <w:pPr>
              <w:spacing w:line="360" w:lineRule="auto"/>
              <w:ind w:left="420" w:right="-57" w:rightChars="-27"/>
              <w:rPr>
                <w:szCs w:val="21"/>
              </w:rPr>
            </w:pPr>
          </w:p>
        </w:tc>
        <w:tc>
          <w:tcPr>
            <w:tcW w:w="943" w:type="dxa"/>
          </w:tcPr>
          <w:p w14:paraId="50CE419C">
            <w:pPr>
              <w:spacing w:line="360" w:lineRule="auto"/>
              <w:ind w:left="420" w:right="-57" w:rightChars="-27"/>
              <w:rPr>
                <w:szCs w:val="21"/>
              </w:rPr>
            </w:pPr>
          </w:p>
        </w:tc>
        <w:tc>
          <w:tcPr>
            <w:tcW w:w="1060" w:type="dxa"/>
          </w:tcPr>
          <w:p w14:paraId="332FEC5B">
            <w:pPr>
              <w:spacing w:line="360" w:lineRule="auto"/>
              <w:ind w:left="420" w:right="-57" w:rightChars="-27"/>
              <w:rPr>
                <w:szCs w:val="21"/>
              </w:rPr>
            </w:pPr>
          </w:p>
        </w:tc>
        <w:tc>
          <w:tcPr>
            <w:tcW w:w="1690" w:type="dxa"/>
          </w:tcPr>
          <w:p w14:paraId="171B9232">
            <w:pPr>
              <w:spacing w:line="360" w:lineRule="auto"/>
              <w:ind w:left="420" w:right="-57" w:rightChars="-27"/>
              <w:rPr>
                <w:szCs w:val="21"/>
              </w:rPr>
            </w:pPr>
          </w:p>
        </w:tc>
        <w:tc>
          <w:tcPr>
            <w:tcW w:w="1620" w:type="dxa"/>
          </w:tcPr>
          <w:p w14:paraId="1CF73571">
            <w:pPr>
              <w:spacing w:line="360" w:lineRule="auto"/>
              <w:ind w:left="420" w:right="-57" w:rightChars="-27"/>
              <w:rPr>
                <w:szCs w:val="21"/>
              </w:rPr>
            </w:pPr>
          </w:p>
        </w:tc>
        <w:tc>
          <w:tcPr>
            <w:tcW w:w="2200" w:type="dxa"/>
          </w:tcPr>
          <w:p w14:paraId="67DC8D4A">
            <w:pPr>
              <w:spacing w:line="360" w:lineRule="auto"/>
              <w:ind w:left="420" w:right="-57" w:rightChars="-27"/>
              <w:rPr>
                <w:szCs w:val="21"/>
              </w:rPr>
            </w:pPr>
          </w:p>
        </w:tc>
      </w:tr>
      <w:tr w14:paraId="2820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E486BFA">
            <w:pPr>
              <w:spacing w:line="360" w:lineRule="auto"/>
              <w:ind w:left="420" w:right="-57" w:rightChars="-27"/>
              <w:rPr>
                <w:szCs w:val="21"/>
              </w:rPr>
            </w:pPr>
          </w:p>
        </w:tc>
        <w:tc>
          <w:tcPr>
            <w:tcW w:w="992" w:type="dxa"/>
          </w:tcPr>
          <w:p w14:paraId="1C3695B2">
            <w:pPr>
              <w:spacing w:line="360" w:lineRule="auto"/>
              <w:ind w:left="420" w:right="-57" w:rightChars="-27"/>
              <w:rPr>
                <w:szCs w:val="21"/>
              </w:rPr>
            </w:pPr>
          </w:p>
        </w:tc>
        <w:tc>
          <w:tcPr>
            <w:tcW w:w="943" w:type="dxa"/>
          </w:tcPr>
          <w:p w14:paraId="63C1F51D">
            <w:pPr>
              <w:spacing w:line="360" w:lineRule="auto"/>
              <w:ind w:left="420" w:right="-57" w:rightChars="-27"/>
              <w:rPr>
                <w:szCs w:val="21"/>
              </w:rPr>
            </w:pPr>
          </w:p>
        </w:tc>
        <w:tc>
          <w:tcPr>
            <w:tcW w:w="1060" w:type="dxa"/>
          </w:tcPr>
          <w:p w14:paraId="7CC1C128">
            <w:pPr>
              <w:spacing w:line="360" w:lineRule="auto"/>
              <w:ind w:left="420" w:right="-57" w:rightChars="-27"/>
              <w:rPr>
                <w:szCs w:val="21"/>
              </w:rPr>
            </w:pPr>
          </w:p>
        </w:tc>
        <w:tc>
          <w:tcPr>
            <w:tcW w:w="1690" w:type="dxa"/>
          </w:tcPr>
          <w:p w14:paraId="611CEF12">
            <w:pPr>
              <w:spacing w:line="360" w:lineRule="auto"/>
              <w:ind w:left="420" w:right="-57" w:rightChars="-27"/>
              <w:rPr>
                <w:szCs w:val="21"/>
              </w:rPr>
            </w:pPr>
          </w:p>
        </w:tc>
        <w:tc>
          <w:tcPr>
            <w:tcW w:w="1620" w:type="dxa"/>
          </w:tcPr>
          <w:p w14:paraId="362030A2">
            <w:pPr>
              <w:spacing w:line="360" w:lineRule="auto"/>
              <w:ind w:left="420" w:right="-57" w:rightChars="-27"/>
              <w:rPr>
                <w:szCs w:val="21"/>
              </w:rPr>
            </w:pPr>
          </w:p>
        </w:tc>
        <w:tc>
          <w:tcPr>
            <w:tcW w:w="2200" w:type="dxa"/>
          </w:tcPr>
          <w:p w14:paraId="6EB8E61A">
            <w:pPr>
              <w:spacing w:line="360" w:lineRule="auto"/>
              <w:ind w:left="420" w:right="-57" w:rightChars="-27"/>
              <w:rPr>
                <w:szCs w:val="21"/>
              </w:rPr>
            </w:pPr>
          </w:p>
        </w:tc>
      </w:tr>
      <w:tr w14:paraId="20A9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E335399">
            <w:pPr>
              <w:spacing w:line="360" w:lineRule="auto"/>
              <w:ind w:left="420" w:right="-57" w:rightChars="-27"/>
              <w:rPr>
                <w:szCs w:val="21"/>
              </w:rPr>
            </w:pPr>
          </w:p>
        </w:tc>
        <w:tc>
          <w:tcPr>
            <w:tcW w:w="992" w:type="dxa"/>
          </w:tcPr>
          <w:p w14:paraId="41B4ACA0">
            <w:pPr>
              <w:spacing w:line="360" w:lineRule="auto"/>
              <w:ind w:left="420" w:right="-57" w:rightChars="-27"/>
              <w:rPr>
                <w:szCs w:val="21"/>
              </w:rPr>
            </w:pPr>
          </w:p>
        </w:tc>
        <w:tc>
          <w:tcPr>
            <w:tcW w:w="943" w:type="dxa"/>
          </w:tcPr>
          <w:p w14:paraId="7CF3D070">
            <w:pPr>
              <w:spacing w:line="360" w:lineRule="auto"/>
              <w:ind w:left="420" w:right="-57" w:rightChars="-27"/>
              <w:rPr>
                <w:szCs w:val="21"/>
              </w:rPr>
            </w:pPr>
          </w:p>
        </w:tc>
        <w:tc>
          <w:tcPr>
            <w:tcW w:w="1060" w:type="dxa"/>
          </w:tcPr>
          <w:p w14:paraId="5A386E99">
            <w:pPr>
              <w:spacing w:line="360" w:lineRule="auto"/>
              <w:ind w:left="420" w:right="-57" w:rightChars="-27"/>
              <w:rPr>
                <w:szCs w:val="21"/>
              </w:rPr>
            </w:pPr>
          </w:p>
        </w:tc>
        <w:tc>
          <w:tcPr>
            <w:tcW w:w="1690" w:type="dxa"/>
          </w:tcPr>
          <w:p w14:paraId="5363EC1C">
            <w:pPr>
              <w:spacing w:line="360" w:lineRule="auto"/>
              <w:ind w:left="420" w:right="-57" w:rightChars="-27"/>
              <w:rPr>
                <w:szCs w:val="21"/>
              </w:rPr>
            </w:pPr>
          </w:p>
        </w:tc>
        <w:tc>
          <w:tcPr>
            <w:tcW w:w="1620" w:type="dxa"/>
          </w:tcPr>
          <w:p w14:paraId="5B1BFEC9">
            <w:pPr>
              <w:spacing w:line="360" w:lineRule="auto"/>
              <w:ind w:left="420" w:right="-57" w:rightChars="-27"/>
              <w:rPr>
                <w:szCs w:val="21"/>
              </w:rPr>
            </w:pPr>
          </w:p>
        </w:tc>
        <w:tc>
          <w:tcPr>
            <w:tcW w:w="2200" w:type="dxa"/>
          </w:tcPr>
          <w:p w14:paraId="597476D5">
            <w:pPr>
              <w:spacing w:line="360" w:lineRule="auto"/>
              <w:ind w:left="420" w:right="-57" w:rightChars="-27"/>
              <w:rPr>
                <w:szCs w:val="21"/>
              </w:rPr>
            </w:pPr>
          </w:p>
        </w:tc>
      </w:tr>
      <w:tr w14:paraId="2736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E83CDAB">
            <w:pPr>
              <w:spacing w:line="360" w:lineRule="auto"/>
              <w:ind w:left="420" w:right="-57" w:rightChars="-27"/>
              <w:rPr>
                <w:szCs w:val="21"/>
              </w:rPr>
            </w:pPr>
          </w:p>
        </w:tc>
        <w:tc>
          <w:tcPr>
            <w:tcW w:w="992" w:type="dxa"/>
          </w:tcPr>
          <w:p w14:paraId="76D554B3">
            <w:pPr>
              <w:spacing w:line="360" w:lineRule="auto"/>
              <w:ind w:left="420" w:right="-57" w:rightChars="-27"/>
              <w:rPr>
                <w:szCs w:val="21"/>
              </w:rPr>
            </w:pPr>
          </w:p>
        </w:tc>
        <w:tc>
          <w:tcPr>
            <w:tcW w:w="943" w:type="dxa"/>
          </w:tcPr>
          <w:p w14:paraId="11FA0324">
            <w:pPr>
              <w:spacing w:line="360" w:lineRule="auto"/>
              <w:ind w:left="420" w:right="-57" w:rightChars="-27"/>
              <w:rPr>
                <w:szCs w:val="21"/>
              </w:rPr>
            </w:pPr>
          </w:p>
        </w:tc>
        <w:tc>
          <w:tcPr>
            <w:tcW w:w="1060" w:type="dxa"/>
          </w:tcPr>
          <w:p w14:paraId="66E87B3A">
            <w:pPr>
              <w:spacing w:line="360" w:lineRule="auto"/>
              <w:ind w:left="420" w:right="-57" w:rightChars="-27"/>
              <w:rPr>
                <w:szCs w:val="21"/>
              </w:rPr>
            </w:pPr>
          </w:p>
        </w:tc>
        <w:tc>
          <w:tcPr>
            <w:tcW w:w="1690" w:type="dxa"/>
          </w:tcPr>
          <w:p w14:paraId="2C7DA1BB">
            <w:pPr>
              <w:spacing w:line="360" w:lineRule="auto"/>
              <w:ind w:left="420" w:right="-57" w:rightChars="-27"/>
              <w:rPr>
                <w:szCs w:val="21"/>
              </w:rPr>
            </w:pPr>
          </w:p>
        </w:tc>
        <w:tc>
          <w:tcPr>
            <w:tcW w:w="1620" w:type="dxa"/>
          </w:tcPr>
          <w:p w14:paraId="6C6EF197">
            <w:pPr>
              <w:spacing w:line="360" w:lineRule="auto"/>
              <w:ind w:left="420" w:right="-57" w:rightChars="-27"/>
              <w:rPr>
                <w:szCs w:val="21"/>
              </w:rPr>
            </w:pPr>
          </w:p>
        </w:tc>
        <w:tc>
          <w:tcPr>
            <w:tcW w:w="2200" w:type="dxa"/>
          </w:tcPr>
          <w:p w14:paraId="0E0B68FC">
            <w:pPr>
              <w:spacing w:line="360" w:lineRule="auto"/>
              <w:ind w:left="420" w:right="-57" w:rightChars="-27"/>
              <w:rPr>
                <w:szCs w:val="21"/>
              </w:rPr>
            </w:pPr>
          </w:p>
        </w:tc>
      </w:tr>
      <w:tr w14:paraId="4A79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6F35CCB">
            <w:pPr>
              <w:spacing w:line="360" w:lineRule="auto"/>
              <w:ind w:left="420" w:right="-57" w:rightChars="-27"/>
              <w:rPr>
                <w:szCs w:val="21"/>
              </w:rPr>
            </w:pPr>
          </w:p>
        </w:tc>
        <w:tc>
          <w:tcPr>
            <w:tcW w:w="992" w:type="dxa"/>
          </w:tcPr>
          <w:p w14:paraId="25A18FDD">
            <w:pPr>
              <w:spacing w:line="360" w:lineRule="auto"/>
              <w:ind w:left="420" w:right="-57" w:rightChars="-27"/>
              <w:rPr>
                <w:szCs w:val="21"/>
              </w:rPr>
            </w:pPr>
          </w:p>
        </w:tc>
        <w:tc>
          <w:tcPr>
            <w:tcW w:w="943" w:type="dxa"/>
          </w:tcPr>
          <w:p w14:paraId="53753EE5">
            <w:pPr>
              <w:spacing w:line="360" w:lineRule="auto"/>
              <w:ind w:left="420" w:right="-57" w:rightChars="-27"/>
              <w:rPr>
                <w:szCs w:val="21"/>
              </w:rPr>
            </w:pPr>
          </w:p>
        </w:tc>
        <w:tc>
          <w:tcPr>
            <w:tcW w:w="1060" w:type="dxa"/>
          </w:tcPr>
          <w:p w14:paraId="260D2179">
            <w:pPr>
              <w:spacing w:line="360" w:lineRule="auto"/>
              <w:ind w:left="420" w:right="-57" w:rightChars="-27"/>
              <w:rPr>
                <w:szCs w:val="21"/>
              </w:rPr>
            </w:pPr>
          </w:p>
        </w:tc>
        <w:tc>
          <w:tcPr>
            <w:tcW w:w="1690" w:type="dxa"/>
          </w:tcPr>
          <w:p w14:paraId="18263F43">
            <w:pPr>
              <w:spacing w:line="360" w:lineRule="auto"/>
              <w:ind w:left="420" w:right="-57" w:rightChars="-27"/>
              <w:rPr>
                <w:szCs w:val="21"/>
              </w:rPr>
            </w:pPr>
          </w:p>
        </w:tc>
        <w:tc>
          <w:tcPr>
            <w:tcW w:w="1620" w:type="dxa"/>
          </w:tcPr>
          <w:p w14:paraId="4ED3AD15">
            <w:pPr>
              <w:spacing w:line="360" w:lineRule="auto"/>
              <w:ind w:left="420" w:right="-57" w:rightChars="-27"/>
              <w:rPr>
                <w:szCs w:val="21"/>
              </w:rPr>
            </w:pPr>
          </w:p>
        </w:tc>
        <w:tc>
          <w:tcPr>
            <w:tcW w:w="2200" w:type="dxa"/>
          </w:tcPr>
          <w:p w14:paraId="422F5BAF">
            <w:pPr>
              <w:spacing w:line="360" w:lineRule="auto"/>
              <w:ind w:left="420" w:right="-57" w:rightChars="-27"/>
              <w:rPr>
                <w:szCs w:val="21"/>
              </w:rPr>
            </w:pPr>
          </w:p>
        </w:tc>
      </w:tr>
      <w:tr w14:paraId="557D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AD340BE">
            <w:pPr>
              <w:spacing w:line="360" w:lineRule="auto"/>
              <w:ind w:left="420" w:right="-57" w:rightChars="-27"/>
              <w:rPr>
                <w:szCs w:val="21"/>
              </w:rPr>
            </w:pPr>
          </w:p>
        </w:tc>
        <w:tc>
          <w:tcPr>
            <w:tcW w:w="992" w:type="dxa"/>
          </w:tcPr>
          <w:p w14:paraId="2DA31512">
            <w:pPr>
              <w:spacing w:line="360" w:lineRule="auto"/>
              <w:ind w:left="420" w:right="-57" w:rightChars="-27"/>
              <w:rPr>
                <w:szCs w:val="21"/>
              </w:rPr>
            </w:pPr>
          </w:p>
        </w:tc>
        <w:tc>
          <w:tcPr>
            <w:tcW w:w="943" w:type="dxa"/>
          </w:tcPr>
          <w:p w14:paraId="1E36FAB7">
            <w:pPr>
              <w:spacing w:line="360" w:lineRule="auto"/>
              <w:ind w:left="420" w:right="-57" w:rightChars="-27"/>
              <w:rPr>
                <w:szCs w:val="21"/>
              </w:rPr>
            </w:pPr>
          </w:p>
        </w:tc>
        <w:tc>
          <w:tcPr>
            <w:tcW w:w="1060" w:type="dxa"/>
          </w:tcPr>
          <w:p w14:paraId="33639DB6">
            <w:pPr>
              <w:spacing w:line="360" w:lineRule="auto"/>
              <w:ind w:left="420" w:right="-57" w:rightChars="-27"/>
              <w:rPr>
                <w:szCs w:val="21"/>
              </w:rPr>
            </w:pPr>
          </w:p>
        </w:tc>
        <w:tc>
          <w:tcPr>
            <w:tcW w:w="1690" w:type="dxa"/>
          </w:tcPr>
          <w:p w14:paraId="27548F96">
            <w:pPr>
              <w:spacing w:line="360" w:lineRule="auto"/>
              <w:ind w:left="420" w:right="-57" w:rightChars="-27"/>
              <w:rPr>
                <w:szCs w:val="21"/>
              </w:rPr>
            </w:pPr>
          </w:p>
        </w:tc>
        <w:tc>
          <w:tcPr>
            <w:tcW w:w="1620" w:type="dxa"/>
          </w:tcPr>
          <w:p w14:paraId="0986C0E5">
            <w:pPr>
              <w:spacing w:line="360" w:lineRule="auto"/>
              <w:ind w:left="420" w:right="-57" w:rightChars="-27"/>
              <w:rPr>
                <w:szCs w:val="21"/>
              </w:rPr>
            </w:pPr>
          </w:p>
        </w:tc>
        <w:tc>
          <w:tcPr>
            <w:tcW w:w="2200" w:type="dxa"/>
          </w:tcPr>
          <w:p w14:paraId="572A316F">
            <w:pPr>
              <w:spacing w:line="360" w:lineRule="auto"/>
              <w:ind w:left="420" w:right="-57" w:rightChars="-27"/>
              <w:rPr>
                <w:szCs w:val="21"/>
              </w:rPr>
            </w:pPr>
          </w:p>
        </w:tc>
      </w:tr>
      <w:tr w14:paraId="2234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8F4A65C">
            <w:pPr>
              <w:spacing w:line="360" w:lineRule="auto"/>
              <w:ind w:left="420" w:right="-57" w:rightChars="-27"/>
              <w:rPr>
                <w:szCs w:val="21"/>
              </w:rPr>
            </w:pPr>
          </w:p>
        </w:tc>
        <w:tc>
          <w:tcPr>
            <w:tcW w:w="992" w:type="dxa"/>
          </w:tcPr>
          <w:p w14:paraId="1BEDAAB4">
            <w:pPr>
              <w:spacing w:line="360" w:lineRule="auto"/>
              <w:ind w:left="420" w:right="-57" w:rightChars="-27"/>
              <w:rPr>
                <w:szCs w:val="21"/>
              </w:rPr>
            </w:pPr>
          </w:p>
        </w:tc>
        <w:tc>
          <w:tcPr>
            <w:tcW w:w="943" w:type="dxa"/>
          </w:tcPr>
          <w:p w14:paraId="24208173">
            <w:pPr>
              <w:spacing w:line="360" w:lineRule="auto"/>
              <w:ind w:left="420" w:right="-57" w:rightChars="-27"/>
              <w:rPr>
                <w:szCs w:val="21"/>
              </w:rPr>
            </w:pPr>
          </w:p>
        </w:tc>
        <w:tc>
          <w:tcPr>
            <w:tcW w:w="1060" w:type="dxa"/>
          </w:tcPr>
          <w:p w14:paraId="67C8BE89">
            <w:pPr>
              <w:spacing w:line="360" w:lineRule="auto"/>
              <w:ind w:left="420" w:right="-57" w:rightChars="-27"/>
              <w:rPr>
                <w:szCs w:val="21"/>
              </w:rPr>
            </w:pPr>
          </w:p>
        </w:tc>
        <w:tc>
          <w:tcPr>
            <w:tcW w:w="1690" w:type="dxa"/>
          </w:tcPr>
          <w:p w14:paraId="5B19A8BA">
            <w:pPr>
              <w:spacing w:line="360" w:lineRule="auto"/>
              <w:ind w:left="420" w:right="-57" w:rightChars="-27"/>
              <w:rPr>
                <w:szCs w:val="21"/>
              </w:rPr>
            </w:pPr>
          </w:p>
        </w:tc>
        <w:tc>
          <w:tcPr>
            <w:tcW w:w="1620" w:type="dxa"/>
          </w:tcPr>
          <w:p w14:paraId="23D08A2B">
            <w:pPr>
              <w:spacing w:line="360" w:lineRule="auto"/>
              <w:ind w:left="420" w:right="-57" w:rightChars="-27"/>
              <w:rPr>
                <w:szCs w:val="21"/>
              </w:rPr>
            </w:pPr>
          </w:p>
        </w:tc>
        <w:tc>
          <w:tcPr>
            <w:tcW w:w="2200" w:type="dxa"/>
          </w:tcPr>
          <w:p w14:paraId="214D77FF">
            <w:pPr>
              <w:spacing w:line="360" w:lineRule="auto"/>
              <w:ind w:left="420" w:right="-57" w:rightChars="-27"/>
              <w:rPr>
                <w:szCs w:val="21"/>
              </w:rPr>
            </w:pPr>
          </w:p>
        </w:tc>
      </w:tr>
      <w:tr w14:paraId="2196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D1464DC">
            <w:pPr>
              <w:spacing w:line="360" w:lineRule="auto"/>
              <w:ind w:left="420" w:right="-57" w:rightChars="-27"/>
              <w:rPr>
                <w:szCs w:val="21"/>
              </w:rPr>
            </w:pPr>
          </w:p>
        </w:tc>
        <w:tc>
          <w:tcPr>
            <w:tcW w:w="992" w:type="dxa"/>
          </w:tcPr>
          <w:p w14:paraId="60CD7070">
            <w:pPr>
              <w:spacing w:line="360" w:lineRule="auto"/>
              <w:ind w:left="420" w:right="-57" w:rightChars="-27"/>
              <w:rPr>
                <w:szCs w:val="21"/>
              </w:rPr>
            </w:pPr>
          </w:p>
        </w:tc>
        <w:tc>
          <w:tcPr>
            <w:tcW w:w="943" w:type="dxa"/>
          </w:tcPr>
          <w:p w14:paraId="5323B7D8">
            <w:pPr>
              <w:spacing w:line="360" w:lineRule="auto"/>
              <w:ind w:left="420" w:right="-57" w:rightChars="-27"/>
              <w:rPr>
                <w:szCs w:val="21"/>
              </w:rPr>
            </w:pPr>
          </w:p>
        </w:tc>
        <w:tc>
          <w:tcPr>
            <w:tcW w:w="1060" w:type="dxa"/>
          </w:tcPr>
          <w:p w14:paraId="185DC541">
            <w:pPr>
              <w:spacing w:line="360" w:lineRule="auto"/>
              <w:ind w:left="420" w:right="-57" w:rightChars="-27"/>
              <w:rPr>
                <w:szCs w:val="21"/>
              </w:rPr>
            </w:pPr>
          </w:p>
        </w:tc>
        <w:tc>
          <w:tcPr>
            <w:tcW w:w="1690" w:type="dxa"/>
          </w:tcPr>
          <w:p w14:paraId="71F2F0A1">
            <w:pPr>
              <w:spacing w:line="360" w:lineRule="auto"/>
              <w:ind w:left="420" w:right="-57" w:rightChars="-27"/>
              <w:rPr>
                <w:szCs w:val="21"/>
              </w:rPr>
            </w:pPr>
          </w:p>
        </w:tc>
        <w:tc>
          <w:tcPr>
            <w:tcW w:w="1620" w:type="dxa"/>
          </w:tcPr>
          <w:p w14:paraId="266BAA86">
            <w:pPr>
              <w:spacing w:line="360" w:lineRule="auto"/>
              <w:ind w:left="420" w:right="-57" w:rightChars="-27"/>
              <w:rPr>
                <w:szCs w:val="21"/>
              </w:rPr>
            </w:pPr>
          </w:p>
        </w:tc>
        <w:tc>
          <w:tcPr>
            <w:tcW w:w="2200" w:type="dxa"/>
          </w:tcPr>
          <w:p w14:paraId="798A2F87">
            <w:pPr>
              <w:spacing w:line="360" w:lineRule="auto"/>
              <w:ind w:left="420" w:right="-57" w:rightChars="-27"/>
              <w:rPr>
                <w:szCs w:val="21"/>
              </w:rPr>
            </w:pPr>
          </w:p>
        </w:tc>
      </w:tr>
      <w:tr w14:paraId="19F5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005D18D">
            <w:pPr>
              <w:spacing w:line="360" w:lineRule="auto"/>
              <w:ind w:left="420" w:right="-57" w:rightChars="-27"/>
              <w:rPr>
                <w:szCs w:val="21"/>
              </w:rPr>
            </w:pPr>
          </w:p>
        </w:tc>
        <w:tc>
          <w:tcPr>
            <w:tcW w:w="992" w:type="dxa"/>
          </w:tcPr>
          <w:p w14:paraId="5ACA0A3F">
            <w:pPr>
              <w:spacing w:line="360" w:lineRule="auto"/>
              <w:ind w:left="420" w:right="-57" w:rightChars="-27"/>
              <w:rPr>
                <w:szCs w:val="21"/>
              </w:rPr>
            </w:pPr>
          </w:p>
        </w:tc>
        <w:tc>
          <w:tcPr>
            <w:tcW w:w="943" w:type="dxa"/>
          </w:tcPr>
          <w:p w14:paraId="77D12E9D">
            <w:pPr>
              <w:spacing w:line="360" w:lineRule="auto"/>
              <w:ind w:left="420" w:right="-57" w:rightChars="-27"/>
              <w:rPr>
                <w:szCs w:val="21"/>
              </w:rPr>
            </w:pPr>
          </w:p>
        </w:tc>
        <w:tc>
          <w:tcPr>
            <w:tcW w:w="1060" w:type="dxa"/>
          </w:tcPr>
          <w:p w14:paraId="47F62C85">
            <w:pPr>
              <w:spacing w:line="360" w:lineRule="auto"/>
              <w:ind w:left="420" w:right="-57" w:rightChars="-27"/>
              <w:rPr>
                <w:szCs w:val="21"/>
              </w:rPr>
            </w:pPr>
          </w:p>
        </w:tc>
        <w:tc>
          <w:tcPr>
            <w:tcW w:w="1690" w:type="dxa"/>
          </w:tcPr>
          <w:p w14:paraId="7B8E9DE5">
            <w:pPr>
              <w:spacing w:line="360" w:lineRule="auto"/>
              <w:ind w:left="420" w:right="-57" w:rightChars="-27"/>
              <w:rPr>
                <w:szCs w:val="21"/>
              </w:rPr>
            </w:pPr>
          </w:p>
        </w:tc>
        <w:tc>
          <w:tcPr>
            <w:tcW w:w="1620" w:type="dxa"/>
          </w:tcPr>
          <w:p w14:paraId="6BF2EC4C">
            <w:pPr>
              <w:spacing w:line="360" w:lineRule="auto"/>
              <w:ind w:left="420" w:right="-57" w:rightChars="-27"/>
              <w:rPr>
                <w:szCs w:val="21"/>
              </w:rPr>
            </w:pPr>
          </w:p>
        </w:tc>
        <w:tc>
          <w:tcPr>
            <w:tcW w:w="2200" w:type="dxa"/>
          </w:tcPr>
          <w:p w14:paraId="6F136C47">
            <w:pPr>
              <w:spacing w:line="360" w:lineRule="auto"/>
              <w:ind w:left="420" w:right="-57" w:rightChars="-27"/>
              <w:rPr>
                <w:szCs w:val="21"/>
              </w:rPr>
            </w:pPr>
          </w:p>
        </w:tc>
      </w:tr>
    </w:tbl>
    <w:p w14:paraId="66724CF9">
      <w:pPr>
        <w:spacing w:line="360" w:lineRule="auto"/>
        <w:ind w:left="420" w:right="-57" w:rightChars="-27"/>
        <w:rPr>
          <w:szCs w:val="21"/>
        </w:rPr>
      </w:pPr>
    </w:p>
    <w:p w14:paraId="5C93167A">
      <w:pPr>
        <w:spacing w:line="360" w:lineRule="auto"/>
        <w:ind w:right="-57" w:rightChars="-27"/>
        <w:rPr>
          <w:szCs w:val="21"/>
          <w:lang w:val="zh-CN"/>
        </w:rPr>
      </w:pPr>
      <w:r>
        <w:rPr>
          <w:szCs w:val="21"/>
        </w:rPr>
        <w:t>注：</w:t>
      </w:r>
      <w:r>
        <w:rPr>
          <w:rFonts w:hint="eastAsia"/>
          <w:szCs w:val="21"/>
        </w:rPr>
        <w:t>附团队人员的身份证、学历证（若有）、学位证（若有）</w:t>
      </w:r>
      <w:r>
        <w:rPr>
          <w:szCs w:val="21"/>
        </w:rPr>
        <w:t>等相关资料复印件并加盖</w:t>
      </w:r>
      <w:r>
        <w:rPr>
          <w:rFonts w:hint="eastAsia"/>
          <w:szCs w:val="21"/>
        </w:rPr>
        <w:t>供应商</w:t>
      </w:r>
      <w:r>
        <w:rPr>
          <w:szCs w:val="21"/>
        </w:rPr>
        <w:t>公章</w:t>
      </w:r>
      <w:r>
        <w:rPr>
          <w:szCs w:val="21"/>
          <w:lang w:val="zh-CN"/>
        </w:rPr>
        <w:t>）</w:t>
      </w:r>
    </w:p>
    <w:p w14:paraId="7733844B">
      <w:pPr>
        <w:spacing w:line="360" w:lineRule="auto"/>
        <w:ind w:right="-57" w:rightChars="-27"/>
        <w:rPr>
          <w:szCs w:val="21"/>
          <w:lang w:val="zh-CN"/>
        </w:rPr>
      </w:pPr>
    </w:p>
    <w:p w14:paraId="777C031F">
      <w:pPr>
        <w:spacing w:line="360" w:lineRule="auto"/>
        <w:ind w:left="420"/>
        <w:rPr>
          <w:rFonts w:hint="eastAsia" w:ascii="宋体" w:hAnsi="宋体"/>
          <w:szCs w:val="21"/>
          <w:u w:val="single"/>
          <w:lang w:val="en-US" w:eastAsia="zh-CN"/>
        </w:rPr>
      </w:pPr>
      <w:r>
        <w:rPr>
          <w:rFonts w:hint="eastAsia" w:ascii="宋体" w:hAnsi="宋体"/>
          <w:szCs w:val="21"/>
        </w:rPr>
        <w:t>供应商名称并加盖公章：</w:t>
      </w:r>
      <w:r>
        <w:rPr>
          <w:rFonts w:hint="eastAsia" w:ascii="宋体" w:hAnsi="宋体"/>
          <w:szCs w:val="21"/>
          <w:u w:val="single"/>
          <w:lang w:val="en-US" w:eastAsia="zh-CN"/>
        </w:rPr>
        <w:t xml:space="preserve">          </w:t>
      </w:r>
    </w:p>
    <w:p w14:paraId="37E2CA3E">
      <w:pPr>
        <w:spacing w:line="360" w:lineRule="auto"/>
        <w:ind w:left="420"/>
        <w:rPr>
          <w:rFonts w:hint="default" w:ascii="宋体" w:hAnsi="宋体" w:eastAsia="宋体"/>
          <w:szCs w:val="21"/>
          <w:u w:val="single"/>
          <w:lang w:val="en-US" w:eastAsia="zh-CN"/>
        </w:rPr>
      </w:pPr>
      <w:r>
        <w:rPr>
          <w:rFonts w:hint="eastAsia" w:ascii="宋体" w:hAnsi="宋体"/>
          <w:szCs w:val="21"/>
        </w:rPr>
        <w:t>授权代表签字：</w:t>
      </w:r>
      <w:r>
        <w:rPr>
          <w:rFonts w:hint="eastAsia" w:ascii="宋体" w:hAnsi="宋体"/>
          <w:szCs w:val="21"/>
          <w:u w:val="single"/>
          <w:lang w:val="en-US" w:eastAsia="zh-CN"/>
        </w:rPr>
        <w:t xml:space="preserve">          </w:t>
      </w:r>
    </w:p>
    <w:p w14:paraId="678B9325">
      <w:pPr>
        <w:spacing w:line="360" w:lineRule="auto"/>
        <w:ind w:firstLine="420" w:firstLineChars="200"/>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u w:val="none"/>
        </w:rPr>
        <w:t>年</w:t>
      </w:r>
      <w:r>
        <w:rPr>
          <w:rFonts w:hint="eastAsia" w:ascii="宋体" w:hAnsi="宋体"/>
          <w:szCs w:val="21"/>
          <w:u w:val="single"/>
          <w:lang w:val="en-US" w:eastAsia="zh-CN"/>
        </w:rPr>
        <w:t xml:space="preserve">    </w:t>
      </w:r>
      <w:r>
        <w:rPr>
          <w:rFonts w:hint="eastAsia" w:ascii="宋体" w:hAnsi="宋体"/>
          <w:szCs w:val="21"/>
          <w:u w:val="none"/>
        </w:rPr>
        <w:t>月</w:t>
      </w:r>
      <w:r>
        <w:rPr>
          <w:rFonts w:hint="eastAsia" w:ascii="宋体" w:hAnsi="宋体"/>
          <w:szCs w:val="21"/>
          <w:u w:val="single"/>
          <w:lang w:val="en-US" w:eastAsia="zh-CN"/>
        </w:rPr>
        <w:t xml:space="preserve">    </w:t>
      </w:r>
      <w:r>
        <w:rPr>
          <w:rFonts w:hint="eastAsia" w:ascii="宋体" w:hAnsi="宋体"/>
          <w:szCs w:val="21"/>
          <w:u w:val="none"/>
        </w:rPr>
        <w:t>日</w:t>
      </w:r>
    </w:p>
    <w:p w14:paraId="102CBD86">
      <w:pPr>
        <w:spacing w:line="360" w:lineRule="auto"/>
        <w:ind w:left="420"/>
        <w:rPr>
          <w:rFonts w:ascii="宋体" w:hAnsi="宋体"/>
          <w:szCs w:val="21"/>
        </w:rPr>
      </w:pPr>
    </w:p>
    <w:p w14:paraId="28C0FAA9">
      <w:pPr>
        <w:pStyle w:val="39"/>
        <w:numPr>
          <w:ilvl w:val="0"/>
          <w:numId w:val="10"/>
        </w:numPr>
        <w:tabs>
          <w:tab w:val="left" w:pos="1276"/>
        </w:tabs>
        <w:spacing w:line="360" w:lineRule="auto"/>
        <w:ind w:left="1276" w:hanging="1276" w:firstLineChars="0"/>
        <w:outlineLvl w:val="0"/>
        <w:rPr>
          <w:rFonts w:ascii="宋体" w:hAnsi="宋体"/>
          <w:b/>
          <w:sz w:val="24"/>
          <w:szCs w:val="24"/>
        </w:rPr>
      </w:pPr>
      <w:bookmarkStart w:id="244" w:name="_Toc22594"/>
      <w:r>
        <w:rPr>
          <w:rFonts w:hint="eastAsia" w:ascii="宋体" w:hAnsi="宋体"/>
          <w:b/>
          <w:sz w:val="24"/>
          <w:szCs w:val="24"/>
          <w:lang w:val="en-US" w:eastAsia="zh-CN"/>
        </w:rPr>
        <w:t>技术文件</w:t>
      </w:r>
      <w:bookmarkEnd w:id="244"/>
    </w:p>
    <w:p w14:paraId="0F00F02B">
      <w:pPr>
        <w:spacing w:line="360" w:lineRule="auto"/>
        <w:ind w:left="420"/>
        <w:rPr>
          <w:rFonts w:ascii="宋体" w:hAnsi="宋体"/>
          <w:szCs w:val="21"/>
        </w:rPr>
      </w:pPr>
    </w:p>
    <w:p w14:paraId="5CEF88B5">
      <w:pPr>
        <w:spacing w:line="360" w:lineRule="auto"/>
        <w:ind w:left="420"/>
        <w:rPr>
          <w:rFonts w:ascii="宋体" w:hAnsi="宋体"/>
          <w:szCs w:val="21"/>
        </w:rPr>
      </w:pPr>
      <w:r>
        <w:rPr>
          <w:rFonts w:hint="eastAsia" w:ascii="宋体" w:hAnsi="宋体"/>
          <w:szCs w:val="21"/>
        </w:rPr>
        <w:t>供应商自行根据遴选文件技术要求进行编制，包括但不限于以下内容：</w:t>
      </w:r>
    </w:p>
    <w:p w14:paraId="4467894F">
      <w:pPr>
        <w:spacing w:line="360" w:lineRule="auto"/>
        <w:ind w:left="420"/>
        <w:rPr>
          <w:rFonts w:ascii="宋体" w:hAnsi="宋体"/>
          <w:szCs w:val="21"/>
        </w:rPr>
      </w:pPr>
      <w:r>
        <w:rPr>
          <w:rFonts w:hint="eastAsia" w:ascii="宋体" w:hAnsi="宋体"/>
          <w:szCs w:val="21"/>
        </w:rPr>
        <w:t>承保服务方案</w:t>
      </w:r>
    </w:p>
    <w:p w14:paraId="2A38FA6B">
      <w:pPr>
        <w:spacing w:line="360" w:lineRule="auto"/>
        <w:ind w:left="420"/>
        <w:rPr>
          <w:rFonts w:ascii="宋体" w:hAnsi="宋体"/>
          <w:szCs w:val="21"/>
        </w:rPr>
      </w:pPr>
      <w:r>
        <w:rPr>
          <w:rFonts w:hint="eastAsia" w:ascii="宋体" w:hAnsi="宋体"/>
          <w:szCs w:val="21"/>
        </w:rPr>
        <w:t>理赔服务方案</w:t>
      </w:r>
    </w:p>
    <w:p w14:paraId="03D376BD">
      <w:pPr>
        <w:spacing w:line="360" w:lineRule="auto"/>
        <w:ind w:left="420"/>
        <w:rPr>
          <w:rFonts w:ascii="宋体" w:hAnsi="宋体"/>
          <w:szCs w:val="21"/>
        </w:rPr>
      </w:pPr>
      <w:r>
        <w:rPr>
          <w:rFonts w:hint="eastAsia" w:ascii="宋体" w:hAnsi="宋体"/>
          <w:szCs w:val="21"/>
        </w:rPr>
        <w:t>应急及重大案件处理</w:t>
      </w:r>
    </w:p>
    <w:p w14:paraId="29A3AC1B">
      <w:pPr>
        <w:spacing w:line="360" w:lineRule="auto"/>
        <w:ind w:left="420"/>
        <w:rPr>
          <w:rFonts w:ascii="宋体" w:hAnsi="宋体"/>
          <w:b/>
          <w:szCs w:val="21"/>
        </w:rPr>
      </w:pPr>
      <w:r>
        <w:rPr>
          <w:rFonts w:hint="eastAsia" w:ascii="宋体" w:hAnsi="宋体"/>
          <w:szCs w:val="21"/>
        </w:rPr>
        <w:br w:type="page"/>
      </w:r>
      <w:bookmarkStart w:id="245" w:name="_Toc5546"/>
    </w:p>
    <w:p w14:paraId="62C1D6BD">
      <w:pPr>
        <w:pStyle w:val="39"/>
        <w:numPr>
          <w:ilvl w:val="0"/>
          <w:numId w:val="10"/>
        </w:numPr>
        <w:tabs>
          <w:tab w:val="left" w:pos="1276"/>
        </w:tabs>
        <w:spacing w:line="360" w:lineRule="auto"/>
        <w:ind w:left="1276" w:hanging="1276" w:firstLineChars="0"/>
        <w:outlineLvl w:val="0"/>
        <w:rPr>
          <w:rFonts w:ascii="宋体" w:hAnsi="宋体"/>
          <w:b/>
          <w:szCs w:val="21"/>
        </w:rPr>
      </w:pPr>
      <w:bookmarkStart w:id="246" w:name="_Toc19258"/>
      <w:r>
        <w:rPr>
          <w:rFonts w:hint="eastAsia" w:ascii="宋体" w:hAnsi="宋体"/>
          <w:b/>
          <w:sz w:val="24"/>
          <w:szCs w:val="24"/>
        </w:rPr>
        <w:t>遴选文件要求的</w:t>
      </w:r>
      <w:r>
        <w:rPr>
          <w:rFonts w:hint="eastAsia" w:ascii="宋体" w:hAnsi="宋体"/>
          <w:b/>
          <w:sz w:val="24"/>
          <w:szCs w:val="24"/>
          <w:lang w:val="en-US" w:eastAsia="zh-CN"/>
        </w:rPr>
        <w:t>或</w:t>
      </w:r>
      <w:r>
        <w:rPr>
          <w:rFonts w:hint="eastAsia" w:ascii="宋体" w:hAnsi="宋体"/>
          <w:b/>
          <w:sz w:val="24"/>
          <w:szCs w:val="24"/>
        </w:rPr>
        <w:t>供应商认为必要的其他文件</w:t>
      </w:r>
      <w:bookmarkEnd w:id="245"/>
      <w:bookmarkEnd w:id="246"/>
    </w:p>
    <w:p w14:paraId="7B855177">
      <w:pPr>
        <w:spacing w:line="360" w:lineRule="auto"/>
        <w:ind w:left="420"/>
        <w:rPr>
          <w:rFonts w:ascii="宋体" w:hAnsi="宋体"/>
          <w:szCs w:val="21"/>
        </w:rPr>
      </w:pPr>
    </w:p>
    <w:p w14:paraId="747076F8">
      <w:pPr>
        <w:spacing w:line="360" w:lineRule="auto"/>
        <w:ind w:left="426"/>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18030">
    <w:altName w:val="微软雅黑"/>
    <w:panose1 w:val="00000000000000000000"/>
    <w:charset w:val="86"/>
    <w:family w:val="modern"/>
    <w:pitch w:val="default"/>
    <w:sig w:usb0="00000000" w:usb1="00000000" w:usb2="000A005E"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F19C">
    <w:pPr>
      <w:pStyle w:val="14"/>
      <w:jc w:val="center"/>
    </w:pPr>
    <w:r>
      <w:fldChar w:fldCharType="begin"/>
    </w:r>
    <w:r>
      <w:instrText xml:space="preserve">PAGE   \* MERGEFORMAT</w:instrText>
    </w:r>
    <w:r>
      <w:fldChar w:fldCharType="separate"/>
    </w:r>
    <w:r>
      <w:rPr>
        <w:lang w:val="zh-CN"/>
      </w:rPr>
      <w:t>2</w:t>
    </w:r>
    <w:r>
      <w:fldChar w:fldCharType="end"/>
    </w:r>
  </w:p>
  <w:p w14:paraId="44F514F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692F">
    <w:pPr>
      <w:pStyle w:val="14"/>
      <w:jc w:val="center"/>
    </w:pPr>
    <w:r>
      <w:fldChar w:fldCharType="begin"/>
    </w:r>
    <w:r>
      <w:instrText xml:space="preserve">PAGE   \* MERGEFORMAT</w:instrText>
    </w:r>
    <w:r>
      <w:fldChar w:fldCharType="separate"/>
    </w:r>
    <w:r>
      <w:rPr>
        <w:lang w:val="zh-CN"/>
      </w:rPr>
      <w:t>5</w:t>
    </w:r>
    <w:r>
      <w:fldChar w:fldCharType="end"/>
    </w:r>
  </w:p>
  <w:p w14:paraId="7782639E">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2F4E">
    <w:pPr>
      <w:pStyle w:val="1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4234">
    <w:pPr>
      <w:pStyle w:val="1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第%1条"/>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D0A26A5"/>
    <w:multiLevelType w:val="singleLevel"/>
    <w:tmpl w:val="0D0A26A5"/>
    <w:lvl w:ilvl="0" w:tentative="0">
      <w:start w:val="1"/>
      <w:numFmt w:val="bullet"/>
      <w:lvlText w:val=""/>
      <w:lvlJc w:val="left"/>
      <w:pPr>
        <w:ind w:left="420" w:hanging="420"/>
      </w:pPr>
      <w:rPr>
        <w:rFonts w:hint="default" w:ascii="Wingdings" w:hAnsi="Wingdings"/>
      </w:rPr>
    </w:lvl>
  </w:abstractNum>
  <w:abstractNum w:abstractNumId="2">
    <w:nsid w:val="1638C85F"/>
    <w:multiLevelType w:val="multilevel"/>
    <w:tmpl w:val="1638C85F"/>
    <w:lvl w:ilvl="0" w:tentative="0">
      <w:start w:val="1"/>
      <w:numFmt w:val="decimal"/>
      <w:suff w:val="space"/>
      <w:lvlText w:val="附件 %1."/>
      <w:lvlJc w:val="left"/>
      <w:pPr>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8C629F1"/>
    <w:multiLevelType w:val="singleLevel"/>
    <w:tmpl w:val="18C629F1"/>
    <w:lvl w:ilvl="0" w:tentative="0">
      <w:start w:val="1"/>
      <w:numFmt w:val="decimal"/>
      <w:suff w:val="nothing"/>
      <w:lvlText w:val="%1、"/>
      <w:lvlJc w:val="left"/>
      <w:pPr>
        <w:ind w:left="440" w:leftChars="0" w:firstLine="0" w:firstLineChars="0"/>
      </w:pPr>
    </w:lvl>
  </w:abstractNum>
  <w:abstractNum w:abstractNumId="4">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4311A25"/>
    <w:multiLevelType w:val="multilevel"/>
    <w:tmpl w:val="24311A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8CC6564"/>
    <w:multiLevelType w:val="multilevel"/>
    <w:tmpl w:val="28CC6564"/>
    <w:lvl w:ilvl="0" w:tentative="0">
      <w:start w:val="1"/>
      <w:numFmt w:val="decimal"/>
      <w:lvlText w:val="（%1）"/>
      <w:lvlJc w:val="left"/>
      <w:pPr>
        <w:ind w:left="2387" w:hanging="11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ADA4198"/>
    <w:multiLevelType w:val="multilevel"/>
    <w:tmpl w:val="4ADA4198"/>
    <w:lvl w:ilvl="0" w:tentative="0">
      <w:start w:val="1"/>
      <w:numFmt w:val="decimal"/>
      <w:lvlText w:val="%1."/>
      <w:lvlJc w:val="left"/>
      <w:pPr>
        <w:tabs>
          <w:tab w:val="left" w:pos="851"/>
        </w:tabs>
        <w:ind w:left="851" w:hanging="851"/>
      </w:pPr>
      <w:rPr>
        <w:rFonts w:hint="eastAsia"/>
      </w:rPr>
    </w:lvl>
    <w:lvl w:ilvl="1" w:tentative="0">
      <w:start w:val="1"/>
      <w:numFmt w:val="decimal"/>
      <w:lvlText w:val="%1.%2."/>
      <w:lvlJc w:val="left"/>
      <w:pPr>
        <w:tabs>
          <w:tab w:val="left" w:pos="851"/>
        </w:tabs>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515574E1"/>
    <w:multiLevelType w:val="multilevel"/>
    <w:tmpl w:val="515574E1"/>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BA0D27"/>
    <w:multiLevelType w:val="multilevel"/>
    <w:tmpl w:val="64BA0D2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7611C16"/>
    <w:multiLevelType w:val="multilevel"/>
    <w:tmpl w:val="77611C16"/>
    <w:lvl w:ilvl="0" w:tentative="0">
      <w:start w:val="1"/>
      <w:numFmt w:val="decimal"/>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4"/>
  </w:num>
  <w:num w:numId="3">
    <w:abstractNumId w:val="7"/>
  </w:num>
  <w:num w:numId="4">
    <w:abstractNumId w:val="5"/>
  </w:num>
  <w:num w:numId="5">
    <w:abstractNumId w:val="10"/>
  </w:num>
  <w:num w:numId="6">
    <w:abstractNumId w:val="8"/>
  </w:num>
  <w:num w:numId="7">
    <w:abstractNumId w:val="6"/>
  </w:num>
  <w:num w:numId="8">
    <w:abstractNumId w:val="0"/>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HorizontalSpacing w:val="107"/>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NWQ1YTgwYWZkZTc4ZTBjZWVmMzkyZTE3N2YxN2EifQ=="/>
  </w:docVars>
  <w:rsids>
    <w:rsidRoot w:val="00E16CE4"/>
    <w:rsid w:val="00005838"/>
    <w:rsid w:val="00036A8D"/>
    <w:rsid w:val="00036E77"/>
    <w:rsid w:val="000527E0"/>
    <w:rsid w:val="00060EB2"/>
    <w:rsid w:val="000613B4"/>
    <w:rsid w:val="00061559"/>
    <w:rsid w:val="00064366"/>
    <w:rsid w:val="000648C4"/>
    <w:rsid w:val="00066C35"/>
    <w:rsid w:val="0006752F"/>
    <w:rsid w:val="00070478"/>
    <w:rsid w:val="0007450B"/>
    <w:rsid w:val="0008530D"/>
    <w:rsid w:val="00091221"/>
    <w:rsid w:val="000A1CB2"/>
    <w:rsid w:val="000B69D4"/>
    <w:rsid w:val="000C6EEE"/>
    <w:rsid w:val="000D5757"/>
    <w:rsid w:val="000D5A8D"/>
    <w:rsid w:val="000E11DB"/>
    <w:rsid w:val="000F6506"/>
    <w:rsid w:val="00114142"/>
    <w:rsid w:val="00123FE1"/>
    <w:rsid w:val="00132C8B"/>
    <w:rsid w:val="00134575"/>
    <w:rsid w:val="00144273"/>
    <w:rsid w:val="00150ED8"/>
    <w:rsid w:val="00157452"/>
    <w:rsid w:val="0016149B"/>
    <w:rsid w:val="00163856"/>
    <w:rsid w:val="0016700A"/>
    <w:rsid w:val="00174D8E"/>
    <w:rsid w:val="001808A3"/>
    <w:rsid w:val="001864A5"/>
    <w:rsid w:val="001868C1"/>
    <w:rsid w:val="001902E7"/>
    <w:rsid w:val="001A2EAF"/>
    <w:rsid w:val="001B1F01"/>
    <w:rsid w:val="001C0CC1"/>
    <w:rsid w:val="001E7ADD"/>
    <w:rsid w:val="001F321E"/>
    <w:rsid w:val="001F44A6"/>
    <w:rsid w:val="001F4BCF"/>
    <w:rsid w:val="0020160D"/>
    <w:rsid w:val="0020550A"/>
    <w:rsid w:val="00207675"/>
    <w:rsid w:val="002124E6"/>
    <w:rsid w:val="002136B7"/>
    <w:rsid w:val="002243E2"/>
    <w:rsid w:val="0022552B"/>
    <w:rsid w:val="002270C8"/>
    <w:rsid w:val="002439AB"/>
    <w:rsid w:val="00247E83"/>
    <w:rsid w:val="002701B7"/>
    <w:rsid w:val="00271098"/>
    <w:rsid w:val="002808CB"/>
    <w:rsid w:val="00292D1E"/>
    <w:rsid w:val="0029596D"/>
    <w:rsid w:val="002A2EBA"/>
    <w:rsid w:val="002A72A4"/>
    <w:rsid w:val="002C2412"/>
    <w:rsid w:val="002C5BC6"/>
    <w:rsid w:val="002D466E"/>
    <w:rsid w:val="00312972"/>
    <w:rsid w:val="003251FF"/>
    <w:rsid w:val="00326970"/>
    <w:rsid w:val="00336C6F"/>
    <w:rsid w:val="003579C6"/>
    <w:rsid w:val="0037389E"/>
    <w:rsid w:val="00377C71"/>
    <w:rsid w:val="00394858"/>
    <w:rsid w:val="003B65FE"/>
    <w:rsid w:val="003B7036"/>
    <w:rsid w:val="003C13F7"/>
    <w:rsid w:val="003D31A9"/>
    <w:rsid w:val="004155C4"/>
    <w:rsid w:val="0042482B"/>
    <w:rsid w:val="00425A79"/>
    <w:rsid w:val="00431FBA"/>
    <w:rsid w:val="00434E1F"/>
    <w:rsid w:val="00435BB2"/>
    <w:rsid w:val="00436A17"/>
    <w:rsid w:val="00437526"/>
    <w:rsid w:val="00437FFB"/>
    <w:rsid w:val="004421FA"/>
    <w:rsid w:val="00452D2F"/>
    <w:rsid w:val="004616C3"/>
    <w:rsid w:val="00461AAD"/>
    <w:rsid w:val="00461B75"/>
    <w:rsid w:val="00462952"/>
    <w:rsid w:val="00462B6D"/>
    <w:rsid w:val="004749EA"/>
    <w:rsid w:val="00483129"/>
    <w:rsid w:val="004903CC"/>
    <w:rsid w:val="004B7A2E"/>
    <w:rsid w:val="004C4668"/>
    <w:rsid w:val="004E4B98"/>
    <w:rsid w:val="005038C1"/>
    <w:rsid w:val="00513ECF"/>
    <w:rsid w:val="00520547"/>
    <w:rsid w:val="005313DD"/>
    <w:rsid w:val="00533425"/>
    <w:rsid w:val="00534418"/>
    <w:rsid w:val="005377E5"/>
    <w:rsid w:val="005431FF"/>
    <w:rsid w:val="005826C9"/>
    <w:rsid w:val="005930C9"/>
    <w:rsid w:val="005A0389"/>
    <w:rsid w:val="005A14EB"/>
    <w:rsid w:val="005A173C"/>
    <w:rsid w:val="005A6BD4"/>
    <w:rsid w:val="005C024A"/>
    <w:rsid w:val="005C4DA0"/>
    <w:rsid w:val="005C630A"/>
    <w:rsid w:val="005E6E70"/>
    <w:rsid w:val="00601444"/>
    <w:rsid w:val="00603C5F"/>
    <w:rsid w:val="00604C2B"/>
    <w:rsid w:val="00606373"/>
    <w:rsid w:val="00621D09"/>
    <w:rsid w:val="00624450"/>
    <w:rsid w:val="006276D3"/>
    <w:rsid w:val="006355D7"/>
    <w:rsid w:val="00635830"/>
    <w:rsid w:val="006434B2"/>
    <w:rsid w:val="00645E55"/>
    <w:rsid w:val="00646F29"/>
    <w:rsid w:val="006524BC"/>
    <w:rsid w:val="00670BCE"/>
    <w:rsid w:val="00674217"/>
    <w:rsid w:val="006924A4"/>
    <w:rsid w:val="006A0F18"/>
    <w:rsid w:val="006A1F80"/>
    <w:rsid w:val="006A2D0E"/>
    <w:rsid w:val="006A6A06"/>
    <w:rsid w:val="006B75FB"/>
    <w:rsid w:val="006C18F4"/>
    <w:rsid w:val="006C3122"/>
    <w:rsid w:val="006C3C62"/>
    <w:rsid w:val="006C749A"/>
    <w:rsid w:val="006D0BF0"/>
    <w:rsid w:val="006D194A"/>
    <w:rsid w:val="006E507A"/>
    <w:rsid w:val="006E6533"/>
    <w:rsid w:val="0070625F"/>
    <w:rsid w:val="007103BA"/>
    <w:rsid w:val="007119F4"/>
    <w:rsid w:val="00725759"/>
    <w:rsid w:val="00734B70"/>
    <w:rsid w:val="007430B7"/>
    <w:rsid w:val="0074526C"/>
    <w:rsid w:val="00750087"/>
    <w:rsid w:val="00751E7D"/>
    <w:rsid w:val="00756310"/>
    <w:rsid w:val="00756676"/>
    <w:rsid w:val="00760E30"/>
    <w:rsid w:val="007700B9"/>
    <w:rsid w:val="007907E9"/>
    <w:rsid w:val="007916F3"/>
    <w:rsid w:val="007940D2"/>
    <w:rsid w:val="00795FF6"/>
    <w:rsid w:val="007A3A49"/>
    <w:rsid w:val="007D1F49"/>
    <w:rsid w:val="007E370B"/>
    <w:rsid w:val="007F078B"/>
    <w:rsid w:val="007F082B"/>
    <w:rsid w:val="007F70D2"/>
    <w:rsid w:val="007F7B3E"/>
    <w:rsid w:val="0081408F"/>
    <w:rsid w:val="008328C0"/>
    <w:rsid w:val="0083668F"/>
    <w:rsid w:val="008458BE"/>
    <w:rsid w:val="00847DC4"/>
    <w:rsid w:val="00852BDD"/>
    <w:rsid w:val="008611DF"/>
    <w:rsid w:val="00877DD0"/>
    <w:rsid w:val="00892325"/>
    <w:rsid w:val="008973B3"/>
    <w:rsid w:val="008B1D33"/>
    <w:rsid w:val="008C1297"/>
    <w:rsid w:val="008C3FB1"/>
    <w:rsid w:val="008D5E79"/>
    <w:rsid w:val="008E5FEC"/>
    <w:rsid w:val="008E6E4F"/>
    <w:rsid w:val="008F5EDC"/>
    <w:rsid w:val="00900508"/>
    <w:rsid w:val="009223A2"/>
    <w:rsid w:val="00933452"/>
    <w:rsid w:val="00937447"/>
    <w:rsid w:val="00940772"/>
    <w:rsid w:val="0094241E"/>
    <w:rsid w:val="00953102"/>
    <w:rsid w:val="00961F51"/>
    <w:rsid w:val="0097299B"/>
    <w:rsid w:val="009811CB"/>
    <w:rsid w:val="0098222A"/>
    <w:rsid w:val="00990B97"/>
    <w:rsid w:val="009A0BBF"/>
    <w:rsid w:val="009A15B8"/>
    <w:rsid w:val="009B1A87"/>
    <w:rsid w:val="009C485E"/>
    <w:rsid w:val="009C5C62"/>
    <w:rsid w:val="009D2B20"/>
    <w:rsid w:val="009E5E1E"/>
    <w:rsid w:val="00A010E1"/>
    <w:rsid w:val="00A0244C"/>
    <w:rsid w:val="00A0355A"/>
    <w:rsid w:val="00A03B4D"/>
    <w:rsid w:val="00A10024"/>
    <w:rsid w:val="00A1114E"/>
    <w:rsid w:val="00A11B3C"/>
    <w:rsid w:val="00A72162"/>
    <w:rsid w:val="00A76F69"/>
    <w:rsid w:val="00A8557F"/>
    <w:rsid w:val="00A8686A"/>
    <w:rsid w:val="00A9042C"/>
    <w:rsid w:val="00AA6064"/>
    <w:rsid w:val="00AC4BA5"/>
    <w:rsid w:val="00AF0714"/>
    <w:rsid w:val="00AF2031"/>
    <w:rsid w:val="00B2664F"/>
    <w:rsid w:val="00B41576"/>
    <w:rsid w:val="00B4254A"/>
    <w:rsid w:val="00B432A0"/>
    <w:rsid w:val="00B52CCA"/>
    <w:rsid w:val="00B550B4"/>
    <w:rsid w:val="00B55913"/>
    <w:rsid w:val="00B64AA0"/>
    <w:rsid w:val="00B7073B"/>
    <w:rsid w:val="00B80920"/>
    <w:rsid w:val="00B90973"/>
    <w:rsid w:val="00BA31F5"/>
    <w:rsid w:val="00BA3C22"/>
    <w:rsid w:val="00BB41A9"/>
    <w:rsid w:val="00BB4247"/>
    <w:rsid w:val="00BF3645"/>
    <w:rsid w:val="00C073CC"/>
    <w:rsid w:val="00C10E9A"/>
    <w:rsid w:val="00C11B12"/>
    <w:rsid w:val="00C14021"/>
    <w:rsid w:val="00C23C2E"/>
    <w:rsid w:val="00C24EF8"/>
    <w:rsid w:val="00C2780C"/>
    <w:rsid w:val="00C31AC4"/>
    <w:rsid w:val="00C32A56"/>
    <w:rsid w:val="00C5485B"/>
    <w:rsid w:val="00C6081B"/>
    <w:rsid w:val="00C777A1"/>
    <w:rsid w:val="00C77C04"/>
    <w:rsid w:val="00CB0212"/>
    <w:rsid w:val="00CB6499"/>
    <w:rsid w:val="00CE4A51"/>
    <w:rsid w:val="00CF41FB"/>
    <w:rsid w:val="00D45CF0"/>
    <w:rsid w:val="00D80406"/>
    <w:rsid w:val="00D816EF"/>
    <w:rsid w:val="00D8349B"/>
    <w:rsid w:val="00D9694A"/>
    <w:rsid w:val="00DA16AC"/>
    <w:rsid w:val="00DA18F1"/>
    <w:rsid w:val="00DA20F3"/>
    <w:rsid w:val="00DB31BA"/>
    <w:rsid w:val="00DB5321"/>
    <w:rsid w:val="00DC2C56"/>
    <w:rsid w:val="00DE00C4"/>
    <w:rsid w:val="00DF5A06"/>
    <w:rsid w:val="00E0067D"/>
    <w:rsid w:val="00E015FC"/>
    <w:rsid w:val="00E03CB7"/>
    <w:rsid w:val="00E16CE4"/>
    <w:rsid w:val="00E24DAD"/>
    <w:rsid w:val="00E475E7"/>
    <w:rsid w:val="00E65924"/>
    <w:rsid w:val="00E6760E"/>
    <w:rsid w:val="00E71BDA"/>
    <w:rsid w:val="00E936C3"/>
    <w:rsid w:val="00EB337E"/>
    <w:rsid w:val="00EB3D7F"/>
    <w:rsid w:val="00EB416C"/>
    <w:rsid w:val="00EB5E12"/>
    <w:rsid w:val="00EC1611"/>
    <w:rsid w:val="00ED24A5"/>
    <w:rsid w:val="00ED3DFE"/>
    <w:rsid w:val="00ED4CC2"/>
    <w:rsid w:val="00F043C2"/>
    <w:rsid w:val="00F07F09"/>
    <w:rsid w:val="00F13F78"/>
    <w:rsid w:val="00F14248"/>
    <w:rsid w:val="00F30526"/>
    <w:rsid w:val="00F419CE"/>
    <w:rsid w:val="00F516E2"/>
    <w:rsid w:val="00F519AE"/>
    <w:rsid w:val="00F62601"/>
    <w:rsid w:val="00F65A96"/>
    <w:rsid w:val="00F730E1"/>
    <w:rsid w:val="00F861D7"/>
    <w:rsid w:val="00F8757D"/>
    <w:rsid w:val="00F972D4"/>
    <w:rsid w:val="00FA3881"/>
    <w:rsid w:val="00FB51F2"/>
    <w:rsid w:val="00FB5386"/>
    <w:rsid w:val="00FC339F"/>
    <w:rsid w:val="00FD15BB"/>
    <w:rsid w:val="00FD3592"/>
    <w:rsid w:val="00FD704F"/>
    <w:rsid w:val="00FF16E2"/>
    <w:rsid w:val="030A7672"/>
    <w:rsid w:val="03A8315E"/>
    <w:rsid w:val="04CB21E9"/>
    <w:rsid w:val="053D7222"/>
    <w:rsid w:val="054A0FB8"/>
    <w:rsid w:val="05972365"/>
    <w:rsid w:val="066B291C"/>
    <w:rsid w:val="06B4338F"/>
    <w:rsid w:val="07474737"/>
    <w:rsid w:val="076125E6"/>
    <w:rsid w:val="08406CE4"/>
    <w:rsid w:val="085D5C17"/>
    <w:rsid w:val="08610537"/>
    <w:rsid w:val="09436A8B"/>
    <w:rsid w:val="09CD34DA"/>
    <w:rsid w:val="0A941979"/>
    <w:rsid w:val="0ABE41AE"/>
    <w:rsid w:val="0ADF4865"/>
    <w:rsid w:val="0B116715"/>
    <w:rsid w:val="0B4B5C79"/>
    <w:rsid w:val="0B5F0280"/>
    <w:rsid w:val="0C6F7D43"/>
    <w:rsid w:val="0C803E0F"/>
    <w:rsid w:val="0DAE142B"/>
    <w:rsid w:val="0ED530DA"/>
    <w:rsid w:val="122A215C"/>
    <w:rsid w:val="134444E3"/>
    <w:rsid w:val="13E81CAA"/>
    <w:rsid w:val="14DD7C4A"/>
    <w:rsid w:val="14FD09AF"/>
    <w:rsid w:val="15204125"/>
    <w:rsid w:val="156F29B6"/>
    <w:rsid w:val="15C154CF"/>
    <w:rsid w:val="17897EF2"/>
    <w:rsid w:val="17D91B27"/>
    <w:rsid w:val="18C9062F"/>
    <w:rsid w:val="197B7B7C"/>
    <w:rsid w:val="1A5758C7"/>
    <w:rsid w:val="1A69256D"/>
    <w:rsid w:val="1A982757"/>
    <w:rsid w:val="1A9C4E39"/>
    <w:rsid w:val="1AD67034"/>
    <w:rsid w:val="1AE654C9"/>
    <w:rsid w:val="1B2E0C1E"/>
    <w:rsid w:val="1B6F6C3C"/>
    <w:rsid w:val="1DA56903"/>
    <w:rsid w:val="1FE46E84"/>
    <w:rsid w:val="2148134C"/>
    <w:rsid w:val="226A2E83"/>
    <w:rsid w:val="229B128E"/>
    <w:rsid w:val="23FF18B5"/>
    <w:rsid w:val="2465291F"/>
    <w:rsid w:val="24C236DA"/>
    <w:rsid w:val="288206EF"/>
    <w:rsid w:val="28984501"/>
    <w:rsid w:val="290770A6"/>
    <w:rsid w:val="292024ED"/>
    <w:rsid w:val="293257A0"/>
    <w:rsid w:val="298D1FBF"/>
    <w:rsid w:val="2A3B4BEF"/>
    <w:rsid w:val="2A701C46"/>
    <w:rsid w:val="2A727498"/>
    <w:rsid w:val="2AB40CD2"/>
    <w:rsid w:val="2B7C41C2"/>
    <w:rsid w:val="2B8F2A70"/>
    <w:rsid w:val="2BB84FB5"/>
    <w:rsid w:val="2C351A72"/>
    <w:rsid w:val="2D355E3C"/>
    <w:rsid w:val="2D5661FD"/>
    <w:rsid w:val="2DBC09FA"/>
    <w:rsid w:val="2DC17902"/>
    <w:rsid w:val="2E8928E3"/>
    <w:rsid w:val="2E9C5704"/>
    <w:rsid w:val="2F2111E1"/>
    <w:rsid w:val="2F581BED"/>
    <w:rsid w:val="2FE64409"/>
    <w:rsid w:val="302E4183"/>
    <w:rsid w:val="305B3E0B"/>
    <w:rsid w:val="31566F47"/>
    <w:rsid w:val="31FA06FB"/>
    <w:rsid w:val="33453A45"/>
    <w:rsid w:val="335F1E64"/>
    <w:rsid w:val="338F30A7"/>
    <w:rsid w:val="343E5F1E"/>
    <w:rsid w:val="346C4839"/>
    <w:rsid w:val="348777D5"/>
    <w:rsid w:val="3522190E"/>
    <w:rsid w:val="355E1BAF"/>
    <w:rsid w:val="358A445B"/>
    <w:rsid w:val="36692D8C"/>
    <w:rsid w:val="36A97D47"/>
    <w:rsid w:val="37FB0663"/>
    <w:rsid w:val="37FE39FA"/>
    <w:rsid w:val="38B06F32"/>
    <w:rsid w:val="38BD7417"/>
    <w:rsid w:val="39522058"/>
    <w:rsid w:val="3A86417A"/>
    <w:rsid w:val="3A900358"/>
    <w:rsid w:val="3D2C7732"/>
    <w:rsid w:val="3D8D4EC8"/>
    <w:rsid w:val="3E7762B4"/>
    <w:rsid w:val="3EEF22EE"/>
    <w:rsid w:val="3F8616EF"/>
    <w:rsid w:val="3FC7396C"/>
    <w:rsid w:val="3FE71217"/>
    <w:rsid w:val="400745A3"/>
    <w:rsid w:val="40420B44"/>
    <w:rsid w:val="417411D1"/>
    <w:rsid w:val="41927AC8"/>
    <w:rsid w:val="41EC0D67"/>
    <w:rsid w:val="42270E7D"/>
    <w:rsid w:val="43F47D4B"/>
    <w:rsid w:val="45531F0C"/>
    <w:rsid w:val="45B55914"/>
    <w:rsid w:val="466E61EE"/>
    <w:rsid w:val="47520928"/>
    <w:rsid w:val="476370DA"/>
    <w:rsid w:val="479003E6"/>
    <w:rsid w:val="484A143E"/>
    <w:rsid w:val="493C45F5"/>
    <w:rsid w:val="4AB11F98"/>
    <w:rsid w:val="4AF64A04"/>
    <w:rsid w:val="4C1C049B"/>
    <w:rsid w:val="4D151ABA"/>
    <w:rsid w:val="4D2E1477"/>
    <w:rsid w:val="4E1006E9"/>
    <w:rsid w:val="4E4D47C5"/>
    <w:rsid w:val="4F12586A"/>
    <w:rsid w:val="4F2A7373"/>
    <w:rsid w:val="4FA56C46"/>
    <w:rsid w:val="4FE27FBA"/>
    <w:rsid w:val="52B449C4"/>
    <w:rsid w:val="53D415ED"/>
    <w:rsid w:val="561870C5"/>
    <w:rsid w:val="563C77B3"/>
    <w:rsid w:val="567E76AB"/>
    <w:rsid w:val="568061B2"/>
    <w:rsid w:val="570F757A"/>
    <w:rsid w:val="57266671"/>
    <w:rsid w:val="577B019D"/>
    <w:rsid w:val="577C1FD0"/>
    <w:rsid w:val="587B5203"/>
    <w:rsid w:val="598C3104"/>
    <w:rsid w:val="5B0D4F6F"/>
    <w:rsid w:val="5D953B1E"/>
    <w:rsid w:val="5DCC5F1C"/>
    <w:rsid w:val="5F812DAF"/>
    <w:rsid w:val="618079CA"/>
    <w:rsid w:val="61CD6067"/>
    <w:rsid w:val="62431E4C"/>
    <w:rsid w:val="647232D8"/>
    <w:rsid w:val="66E5302B"/>
    <w:rsid w:val="68665CF6"/>
    <w:rsid w:val="695B28B4"/>
    <w:rsid w:val="697F5A10"/>
    <w:rsid w:val="698D1172"/>
    <w:rsid w:val="6A4B72A6"/>
    <w:rsid w:val="6A7E591C"/>
    <w:rsid w:val="6BD2098D"/>
    <w:rsid w:val="6EB17818"/>
    <w:rsid w:val="6F9B1483"/>
    <w:rsid w:val="70B52AE8"/>
    <w:rsid w:val="7130422A"/>
    <w:rsid w:val="718A3005"/>
    <w:rsid w:val="71B94306"/>
    <w:rsid w:val="722F4912"/>
    <w:rsid w:val="73813B3C"/>
    <w:rsid w:val="73DB5A1C"/>
    <w:rsid w:val="755A0A19"/>
    <w:rsid w:val="7573705E"/>
    <w:rsid w:val="75D20770"/>
    <w:rsid w:val="771E2071"/>
    <w:rsid w:val="78724786"/>
    <w:rsid w:val="78C2135B"/>
    <w:rsid w:val="78DB3233"/>
    <w:rsid w:val="792C3E2E"/>
    <w:rsid w:val="793B3DA7"/>
    <w:rsid w:val="79D12015"/>
    <w:rsid w:val="7B4F776A"/>
    <w:rsid w:val="7B8A593A"/>
    <w:rsid w:val="7B985F55"/>
    <w:rsid w:val="7D5E5471"/>
    <w:rsid w:val="7E3A60FF"/>
    <w:rsid w:val="7E4E1E86"/>
    <w:rsid w:val="7F741DC0"/>
    <w:rsid w:val="7F807A48"/>
    <w:rsid w:val="7F81695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2"/>
    <w:qFormat/>
    <w:uiPriority w:val="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Calibri" w:hAnsi="Calibri"/>
    </w:rPr>
  </w:style>
  <w:style w:type="paragraph" w:styleId="5">
    <w:name w:val="annotation text"/>
    <w:basedOn w:val="1"/>
    <w:link w:val="33"/>
    <w:unhideWhenUsed/>
    <w:qFormat/>
    <w:uiPriority w:val="99"/>
    <w:pPr>
      <w:jc w:val="left"/>
    </w:pPr>
  </w:style>
  <w:style w:type="paragraph" w:styleId="6">
    <w:name w:val="Body Text"/>
    <w:basedOn w:val="1"/>
    <w:next w:val="7"/>
    <w:qFormat/>
    <w:uiPriority w:val="1"/>
    <w:pPr>
      <w:spacing w:before="26"/>
      <w:ind w:left="121"/>
    </w:pPr>
    <w:rPr>
      <w:rFonts w:ascii="宋体" w:hAnsi="宋体"/>
      <w:sz w:val="24"/>
      <w:szCs w:val="24"/>
    </w:rPr>
  </w:style>
  <w:style w:type="paragraph" w:customStyle="1" w:styleId="7">
    <w:name w:val="A正文小四"/>
    <w:basedOn w:val="1"/>
    <w:qFormat/>
    <w:uiPriority w:val="0"/>
    <w:pPr>
      <w:spacing w:before="96" w:after="96"/>
      <w:ind w:firstLine="200" w:firstLineChars="200"/>
    </w:pPr>
    <w:rPr>
      <w:rFonts w:cs="黑体"/>
      <w:sz w:val="24"/>
      <w:szCs w:val="24"/>
    </w:rPr>
  </w:style>
  <w:style w:type="paragraph" w:styleId="8">
    <w:name w:val="Body Text Indent"/>
    <w:basedOn w:val="1"/>
    <w:qFormat/>
    <w:uiPriority w:val="0"/>
    <w:pPr>
      <w:spacing w:line="360" w:lineRule="auto"/>
      <w:ind w:firstLine="571" w:firstLineChars="204"/>
    </w:pPr>
  </w:style>
  <w:style w:type="paragraph" w:styleId="9">
    <w:name w:val="toc 5"/>
    <w:basedOn w:val="1"/>
    <w:next w:val="1"/>
    <w:unhideWhenUsed/>
    <w:qFormat/>
    <w:uiPriority w:val="39"/>
    <w:pPr>
      <w:ind w:left="1680" w:leftChars="800"/>
    </w:pPr>
    <w:rPr>
      <w:rFonts w:ascii="Calibri" w:hAnsi="Calibri"/>
    </w:rPr>
  </w:style>
  <w:style w:type="paragraph" w:styleId="10">
    <w:name w:val="toc 3"/>
    <w:basedOn w:val="1"/>
    <w:next w:val="1"/>
    <w:unhideWhenUsed/>
    <w:qFormat/>
    <w:uiPriority w:val="39"/>
    <w:pPr>
      <w:ind w:left="840" w:leftChars="400"/>
    </w:pPr>
    <w:rPr>
      <w:rFonts w:ascii="Calibri" w:hAnsi="Calibri"/>
    </w:rPr>
  </w:style>
  <w:style w:type="paragraph" w:styleId="11">
    <w:name w:val="toc 8"/>
    <w:basedOn w:val="1"/>
    <w:next w:val="1"/>
    <w:unhideWhenUsed/>
    <w:qFormat/>
    <w:uiPriority w:val="39"/>
    <w:pPr>
      <w:ind w:left="2940" w:leftChars="1400"/>
    </w:pPr>
    <w:rPr>
      <w:rFonts w:ascii="Calibri" w:hAnsi="Calibri"/>
    </w:rPr>
  </w:style>
  <w:style w:type="paragraph" w:styleId="12">
    <w:name w:val="Body Text Indent 2"/>
    <w:basedOn w:val="1"/>
    <w:qFormat/>
    <w:uiPriority w:val="0"/>
    <w:pPr>
      <w:snapToGrid w:val="0"/>
      <w:spacing w:line="360" w:lineRule="auto"/>
      <w:ind w:right="28" w:firstLine="420" w:firstLineChars="200"/>
      <w:jc w:val="left"/>
    </w:pPr>
    <w:rPr>
      <w:rFonts w:ascii="宋体-18030" w:hAnsi="宋体-18030" w:eastAsia="宋体-18030"/>
      <w:color w:val="000000"/>
    </w:rPr>
  </w:style>
  <w:style w:type="paragraph" w:styleId="13">
    <w:name w:val="Balloon Text"/>
    <w:basedOn w:val="1"/>
    <w:link w:val="34"/>
    <w:unhideWhenUsed/>
    <w:qFormat/>
    <w:uiPriority w:val="99"/>
    <w:rPr>
      <w:kern w:val="0"/>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rPr>
      <w:rFonts w:ascii="Calibri" w:hAnsi="Calibri"/>
    </w:rPr>
  </w:style>
  <w:style w:type="paragraph" w:styleId="18">
    <w:name w:val="footnote text"/>
    <w:basedOn w:val="1"/>
    <w:next w:val="15"/>
    <w:unhideWhenUsed/>
    <w:qFormat/>
    <w:uiPriority w:val="0"/>
    <w:pPr>
      <w:snapToGrid w:val="0"/>
      <w:jc w:val="left"/>
    </w:p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unhideWhenUsed/>
    <w:qFormat/>
    <w:uiPriority w:val="39"/>
    <w:pPr>
      <w:ind w:left="420" w:leftChars="200"/>
    </w:pPr>
    <w:rPr>
      <w:rFonts w:ascii="Calibri" w:hAnsi="Calibri"/>
    </w:rPr>
  </w:style>
  <w:style w:type="paragraph" w:styleId="21">
    <w:name w:val="toc 9"/>
    <w:basedOn w:val="1"/>
    <w:next w:val="1"/>
    <w:unhideWhenUsed/>
    <w:qFormat/>
    <w:uiPriority w:val="39"/>
    <w:pPr>
      <w:ind w:left="3360" w:leftChars="1600"/>
    </w:pPr>
    <w:rPr>
      <w:rFonts w:ascii="Calibri" w:hAnsi="Calibri"/>
    </w:rPr>
  </w:style>
  <w:style w:type="paragraph" w:styleId="22">
    <w:name w:val="Body Text 2"/>
    <w:basedOn w:val="1"/>
    <w:semiHidden/>
    <w:unhideWhenUsed/>
    <w:qFormat/>
    <w:uiPriority w:val="99"/>
    <w:pPr>
      <w:spacing w:after="120" w:line="480" w:lineRule="auto"/>
    </w:pPr>
  </w:style>
  <w:style w:type="paragraph" w:styleId="23">
    <w:name w:val="annotation subject"/>
    <w:basedOn w:val="5"/>
    <w:next w:val="5"/>
    <w:link w:val="37"/>
    <w:unhideWhenUsed/>
    <w:qFormat/>
    <w:uiPriority w:val="99"/>
    <w:rPr>
      <w:b/>
      <w:bCs/>
    </w:rPr>
  </w:style>
  <w:style w:type="paragraph" w:styleId="24">
    <w:name w:val="Body Text First Indent 2"/>
    <w:basedOn w:val="8"/>
    <w:next w:val="1"/>
    <w:unhideWhenUsed/>
    <w:qFormat/>
    <w:uiPriority w:val="99"/>
    <w:pPr>
      <w:ind w:firstLine="420" w:firstLineChars="200"/>
    </w:pPr>
    <w:rPr>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99"/>
    <w:rPr>
      <w:color w:val="0000FF"/>
      <w:u w:val="single"/>
    </w:rPr>
  </w:style>
  <w:style w:type="character" w:styleId="29">
    <w:name w:val="HTML Code"/>
    <w:qFormat/>
    <w:uiPriority w:val="0"/>
    <w:rPr>
      <w:rFonts w:ascii="Courier New" w:hAnsi="Courier New" w:cs="Courier New"/>
      <w:sz w:val="20"/>
      <w:szCs w:val="20"/>
    </w:rPr>
  </w:style>
  <w:style w:type="character" w:styleId="30">
    <w:name w:val="annotation reference"/>
    <w:unhideWhenUsed/>
    <w:qFormat/>
    <w:uiPriority w:val="99"/>
    <w:rPr>
      <w:sz w:val="21"/>
      <w:szCs w:val="21"/>
    </w:rPr>
  </w:style>
  <w:style w:type="character" w:customStyle="1" w:styleId="31">
    <w:name w:val="标题 1 Char"/>
    <w:link w:val="2"/>
    <w:qFormat/>
    <w:uiPriority w:val="9"/>
    <w:rPr>
      <w:b/>
      <w:bCs/>
      <w:kern w:val="44"/>
      <w:sz w:val="44"/>
      <w:szCs w:val="44"/>
    </w:rPr>
  </w:style>
  <w:style w:type="character" w:customStyle="1" w:styleId="32">
    <w:name w:val="标题 3 Char"/>
    <w:link w:val="3"/>
    <w:semiHidden/>
    <w:qFormat/>
    <w:uiPriority w:val="9"/>
    <w:rPr>
      <w:b/>
      <w:bCs/>
      <w:kern w:val="2"/>
      <w:sz w:val="32"/>
      <w:szCs w:val="32"/>
    </w:rPr>
  </w:style>
  <w:style w:type="character" w:customStyle="1" w:styleId="33">
    <w:name w:val="批注文字 Char"/>
    <w:link w:val="5"/>
    <w:qFormat/>
    <w:uiPriority w:val="99"/>
    <w:rPr>
      <w:kern w:val="2"/>
      <w:sz w:val="21"/>
      <w:szCs w:val="22"/>
    </w:rPr>
  </w:style>
  <w:style w:type="character" w:customStyle="1" w:styleId="34">
    <w:name w:val="批注框文本 Char"/>
    <w:link w:val="13"/>
    <w:semiHidden/>
    <w:qFormat/>
    <w:uiPriority w:val="99"/>
    <w:rPr>
      <w:sz w:val="18"/>
      <w:szCs w:val="18"/>
    </w:rPr>
  </w:style>
  <w:style w:type="character" w:customStyle="1" w:styleId="35">
    <w:name w:val="页脚 Char"/>
    <w:link w:val="14"/>
    <w:qFormat/>
    <w:uiPriority w:val="99"/>
    <w:rPr>
      <w:kern w:val="2"/>
      <w:sz w:val="18"/>
      <w:szCs w:val="18"/>
    </w:rPr>
  </w:style>
  <w:style w:type="character" w:customStyle="1" w:styleId="36">
    <w:name w:val="页眉 Char"/>
    <w:link w:val="15"/>
    <w:qFormat/>
    <w:uiPriority w:val="99"/>
    <w:rPr>
      <w:kern w:val="2"/>
      <w:sz w:val="18"/>
      <w:szCs w:val="18"/>
    </w:rPr>
  </w:style>
  <w:style w:type="character" w:customStyle="1" w:styleId="37">
    <w:name w:val="批注主题 Char"/>
    <w:link w:val="23"/>
    <w:semiHidden/>
    <w:qFormat/>
    <w:uiPriority w:val="99"/>
    <w:rPr>
      <w:b/>
      <w:bCs/>
      <w:kern w:val="2"/>
      <w:sz w:val="21"/>
      <w:szCs w:val="22"/>
    </w:rPr>
  </w:style>
  <w:style w:type="paragraph" w:customStyle="1" w:styleId="3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9">
    <w:name w:val="List Paragraph"/>
    <w:basedOn w:val="1"/>
    <w:link w:val="40"/>
    <w:qFormat/>
    <w:uiPriority w:val="34"/>
    <w:pPr>
      <w:ind w:firstLine="420" w:firstLineChars="200"/>
    </w:pPr>
  </w:style>
  <w:style w:type="character" w:customStyle="1" w:styleId="40">
    <w:name w:val="列出段落 Char"/>
    <w:link w:val="39"/>
    <w:qFormat/>
    <w:uiPriority w:val="34"/>
    <w:rPr>
      <w:kern w:val="2"/>
      <w:sz w:val="21"/>
      <w:szCs w:val="22"/>
    </w:rPr>
  </w:style>
  <w:style w:type="paragraph" w:customStyle="1" w:styleId="41">
    <w:name w:val="_Style 34"/>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table" w:customStyle="1" w:styleId="42">
    <w:name w:val="网格型1"/>
    <w:basedOn w:val="25"/>
    <w:qFormat/>
    <w:uiPriority w:val="39"/>
    <w:rPr>
      <w:rFonts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页脚 字符"/>
    <w:qFormat/>
    <w:uiPriority w:val="99"/>
  </w:style>
  <w:style w:type="paragraph" w:customStyle="1" w:styleId="4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31</Pages>
  <Words>7829</Words>
  <Characters>8269</Characters>
  <Lines>78</Lines>
  <Paragraphs>22</Paragraphs>
  <TotalTime>16</TotalTime>
  <ScaleCrop>false</ScaleCrop>
  <LinksUpToDate>false</LinksUpToDate>
  <CharactersWithSpaces>9376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2023-09-12T05:32:00Z</dcterms:created>
  <dc:creator>sony</dc:creator>
  <cp:lastModifiedBy>王思宇</cp:lastModifiedBy>
  <dcterms:modified xsi:type="dcterms:W3CDTF">2024-12-18T05:25:46Z</dcterms:modified>
  <dc:title>（项目名称）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B964AD6685BC4846899EE7E1AE7D7F4A_13</vt:lpwstr>
  </property>
</Properties>
</file>